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5784"/>
      </w:tblGrid>
      <w:tr w:rsidR="00026482" w:rsidRPr="002E198A" w14:paraId="7F7585A2" w14:textId="77777777" w:rsidTr="006427E4">
        <w:trPr>
          <w:trHeight w:val="983"/>
        </w:trPr>
        <w:tc>
          <w:tcPr>
            <w:tcW w:w="3680" w:type="dxa"/>
          </w:tcPr>
          <w:p w14:paraId="46B5E6E7" w14:textId="13E21950" w:rsidR="00026482" w:rsidRPr="002E198A" w:rsidRDefault="00026482" w:rsidP="00026482">
            <w:pPr>
              <w:pStyle w:val="BodyText"/>
              <w:spacing w:after="0"/>
              <w:ind w:firstLine="0"/>
              <w:jc w:val="center"/>
              <w:rPr>
                <w:sz w:val="28"/>
                <w:szCs w:val="28"/>
                <w:lang w:val="en-US"/>
              </w:rPr>
            </w:pPr>
            <w:r w:rsidRPr="002E198A">
              <w:rPr>
                <w:sz w:val="28"/>
                <w:szCs w:val="28"/>
              </w:rPr>
              <w:t>BỘ TƯ PHÁP</w:t>
            </w:r>
          </w:p>
          <w:p w14:paraId="480C26EB" w14:textId="6926B661" w:rsidR="00026482" w:rsidRPr="002E198A" w:rsidRDefault="00026482" w:rsidP="00026482">
            <w:pPr>
              <w:pStyle w:val="BodyText"/>
              <w:spacing w:after="0"/>
              <w:ind w:firstLine="0"/>
              <w:jc w:val="center"/>
              <w:rPr>
                <w:sz w:val="28"/>
                <w:szCs w:val="28"/>
                <w:lang w:val="en-US"/>
              </w:rPr>
            </w:pPr>
            <w:r w:rsidRPr="002E198A">
              <w:rPr>
                <w:b/>
                <w:bCs/>
                <w:sz w:val="28"/>
                <w:szCs w:val="28"/>
              </w:rPr>
              <w:t>VỤ PHÁP LUẬT QUỐC TẾ</w:t>
            </w:r>
          </w:p>
        </w:tc>
        <w:tc>
          <w:tcPr>
            <w:tcW w:w="5784" w:type="dxa"/>
          </w:tcPr>
          <w:p w14:paraId="567A9504" w14:textId="77777777" w:rsidR="00026482" w:rsidRPr="002E198A" w:rsidRDefault="00026482" w:rsidP="00026482">
            <w:pPr>
              <w:pStyle w:val="BodyText"/>
              <w:spacing w:after="0"/>
              <w:ind w:firstLine="0"/>
              <w:jc w:val="center"/>
              <w:rPr>
                <w:b/>
                <w:bCs/>
                <w:sz w:val="28"/>
                <w:szCs w:val="28"/>
                <w:lang w:val="en-US"/>
              </w:rPr>
            </w:pPr>
            <w:r w:rsidRPr="002E198A">
              <w:rPr>
                <w:b/>
                <w:bCs/>
                <w:sz w:val="28"/>
                <w:szCs w:val="28"/>
              </w:rPr>
              <w:t>CỘNG HOÀ XÃ HỘI CHỦ NGHĨA VIỆT NAM</w:t>
            </w:r>
          </w:p>
          <w:p w14:paraId="153DD087" w14:textId="0F02905F" w:rsidR="00026482" w:rsidRPr="002E198A" w:rsidRDefault="002E198A" w:rsidP="00026482">
            <w:pPr>
              <w:pStyle w:val="BodyText"/>
              <w:spacing w:after="0"/>
              <w:ind w:firstLine="0"/>
              <w:jc w:val="center"/>
              <w:rPr>
                <w:b/>
                <w:bCs/>
                <w:sz w:val="28"/>
                <w:szCs w:val="28"/>
                <w:lang w:val="en-US"/>
              </w:rPr>
            </w:pPr>
            <w:r w:rsidRPr="002E198A">
              <w:rPr>
                <w:b/>
                <w:bCs/>
                <w:sz w:val="28"/>
                <w:szCs w:val="28"/>
                <w:lang w:val="en-US"/>
              </w:rPr>
              <w:t>Độc lập – Tự do – Hạnh phúc</w:t>
            </w:r>
          </w:p>
        </w:tc>
      </w:tr>
      <w:tr w:rsidR="00026482" w:rsidRPr="002E198A" w14:paraId="59032F02" w14:textId="77777777" w:rsidTr="006427E4">
        <w:tc>
          <w:tcPr>
            <w:tcW w:w="3680" w:type="dxa"/>
          </w:tcPr>
          <w:p w14:paraId="4CE74233" w14:textId="1CCF709A" w:rsidR="00026482" w:rsidRPr="002E198A" w:rsidRDefault="00026482" w:rsidP="00026482">
            <w:pPr>
              <w:pStyle w:val="BodyText"/>
              <w:spacing w:after="0"/>
              <w:ind w:firstLine="0"/>
              <w:jc w:val="center"/>
              <w:rPr>
                <w:sz w:val="28"/>
                <w:szCs w:val="28"/>
              </w:rPr>
            </w:pPr>
            <w:r w:rsidRPr="002E198A">
              <w:rPr>
                <w:sz w:val="28"/>
                <w:szCs w:val="28"/>
              </w:rPr>
              <w:t>Số:</w:t>
            </w:r>
            <w:r w:rsidR="000D316D" w:rsidRPr="002E198A">
              <w:rPr>
                <w:sz w:val="28"/>
                <w:szCs w:val="28"/>
                <w:lang w:val="en-US"/>
              </w:rPr>
              <w:t xml:space="preserve"> </w:t>
            </w:r>
            <w:r w:rsidRPr="002E198A">
              <w:rPr>
                <w:sz w:val="28"/>
                <w:szCs w:val="28"/>
              </w:rPr>
              <w:tab/>
            </w:r>
            <w:r w:rsidR="003D46F0" w:rsidRPr="002E198A">
              <w:rPr>
                <w:sz w:val="28"/>
                <w:szCs w:val="28"/>
                <w:lang w:val="en-US"/>
              </w:rPr>
              <w:t xml:space="preserve"> </w:t>
            </w:r>
            <w:r w:rsidRPr="002E198A">
              <w:rPr>
                <w:sz w:val="28"/>
                <w:szCs w:val="28"/>
              </w:rPr>
              <w:t>/TTr- PLQT</w:t>
            </w:r>
          </w:p>
        </w:tc>
        <w:tc>
          <w:tcPr>
            <w:tcW w:w="5784" w:type="dxa"/>
          </w:tcPr>
          <w:p w14:paraId="5EE3821B" w14:textId="70694B99" w:rsidR="00026482" w:rsidRPr="002E198A" w:rsidRDefault="002E198A" w:rsidP="002E198A">
            <w:pPr>
              <w:pStyle w:val="BodyText"/>
              <w:spacing w:before="120" w:after="0"/>
              <w:ind w:firstLine="0"/>
              <w:jc w:val="center"/>
              <w:rPr>
                <w:b/>
                <w:bCs/>
                <w:sz w:val="28"/>
                <w:szCs w:val="28"/>
              </w:rPr>
            </w:pPr>
            <w:r w:rsidRPr="002E198A">
              <w:rPr>
                <w:b/>
                <w:bCs/>
                <w:noProof/>
                <w:sz w:val="28"/>
                <w:szCs w:val="28"/>
                <w:lang w:val="en-US" w:eastAsia="en-US" w:bidi="ar-SA"/>
              </w:rPr>
              <mc:AlternateContent>
                <mc:Choice Requires="wps">
                  <w:drawing>
                    <wp:anchor distT="0" distB="0" distL="114300" distR="114300" simplePos="0" relativeHeight="251659264" behindDoc="0" locked="0" layoutInCell="1" allowOverlap="1" wp14:anchorId="77367B21" wp14:editId="40830A69">
                      <wp:simplePos x="0" y="0"/>
                      <wp:positionH relativeFrom="column">
                        <wp:posOffset>664845</wp:posOffset>
                      </wp:positionH>
                      <wp:positionV relativeFrom="paragraph">
                        <wp:posOffset>22225</wp:posOffset>
                      </wp:positionV>
                      <wp:extent cx="21621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62175"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9738CD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35pt,1.75pt" to="222.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" strokecolor="black [3213]" strokeweight=".5pt">
                      <v:stroke joinstyle="miter"/>
                    </v:line>
                  </w:pict>
                </mc:Fallback>
              </mc:AlternateContent>
            </w:r>
            <w:r w:rsidR="00026482" w:rsidRPr="002E198A">
              <w:rPr>
                <w:i/>
                <w:iCs/>
                <w:sz w:val="28"/>
                <w:szCs w:val="28"/>
              </w:rPr>
              <w:t>Hà Nội, ngày    tháng     năm 2025</w:t>
            </w:r>
          </w:p>
        </w:tc>
      </w:tr>
    </w:tbl>
    <w:p w14:paraId="75FB5550" w14:textId="5CBC8879" w:rsidR="00026482" w:rsidRPr="002E198A" w:rsidRDefault="00026482" w:rsidP="00026482">
      <w:pPr>
        <w:pStyle w:val="BodyText"/>
        <w:spacing w:after="0"/>
        <w:ind w:firstLine="0"/>
        <w:jc w:val="both"/>
        <w:rPr>
          <w:sz w:val="28"/>
          <w:szCs w:val="28"/>
          <w:lang w:val="en-US"/>
        </w:rPr>
      </w:pPr>
      <w:r w:rsidRPr="002E198A">
        <w:rPr>
          <w:sz w:val="28"/>
          <w:szCs w:val="28"/>
          <w:lang w:val="en-US"/>
        </w:rPr>
        <w:t xml:space="preserve">  </w:t>
      </w:r>
    </w:p>
    <w:p w14:paraId="63C6BDCF" w14:textId="405BA3FB" w:rsidR="00026482" w:rsidRPr="002E198A" w:rsidRDefault="00763C25" w:rsidP="00026482">
      <w:pPr>
        <w:pStyle w:val="BodyText"/>
        <w:spacing w:after="0"/>
        <w:ind w:firstLine="0"/>
        <w:jc w:val="both"/>
        <w:rPr>
          <w:sz w:val="28"/>
          <w:szCs w:val="28"/>
          <w:lang w:val="en-US"/>
        </w:rPr>
      </w:pPr>
      <w:r w:rsidRPr="002E198A">
        <w:rPr>
          <w:noProof/>
          <w:sz w:val="28"/>
          <w:szCs w:val="28"/>
        </w:rPr>
        <mc:AlternateContent>
          <mc:Choice Requires="wps">
            <w:drawing>
              <wp:anchor distT="0" distB="0" distL="114300" distR="114300" simplePos="0" relativeHeight="251661312" behindDoc="0" locked="0" layoutInCell="1" allowOverlap="1" wp14:anchorId="16AEAB7A" wp14:editId="45F53240">
                <wp:simplePos x="0" y="0"/>
                <wp:positionH relativeFrom="column">
                  <wp:posOffset>0</wp:posOffset>
                </wp:positionH>
                <wp:positionV relativeFrom="paragraph">
                  <wp:posOffset>-635</wp:posOffset>
                </wp:positionV>
                <wp:extent cx="1137036" cy="349858"/>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1137036" cy="349858"/>
                        </a:xfrm>
                        <a:prstGeom prst="rect">
                          <a:avLst/>
                        </a:prstGeom>
                        <a:solidFill>
                          <a:schemeClr val="lt1"/>
                        </a:solidFill>
                        <a:ln w="6350">
                          <a:solidFill>
                            <a:prstClr val="black"/>
                          </a:solidFill>
                        </a:ln>
                      </wps:spPr>
                      <wps:txbx>
                        <w:txbxContent>
                          <w:p w14:paraId="3FF2ACA5" w14:textId="77777777" w:rsidR="00763C25" w:rsidRPr="00763C25" w:rsidRDefault="00763C25" w:rsidP="00763C25">
                            <w:pPr>
                              <w:jc w:val="center"/>
                              <w:rPr>
                                <w:rFonts w:ascii="Times New Roman" w:hAnsi="Times New Roman" w:cs="Times New Roman"/>
                                <w:b/>
                                <w:bCs/>
                                <w:lang w:val="en-US"/>
                              </w:rPr>
                            </w:pPr>
                            <w:r w:rsidRPr="00763C25">
                              <w:rPr>
                                <w:rFonts w:ascii="Times New Roman" w:hAnsi="Times New Roman" w:cs="Times New Roman"/>
                                <w:b/>
                                <w:bCs/>
                                <w:lang w:val="en-US"/>
                              </w:rPr>
                              <w:t>DỰ THẢO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AEAB7A" id="_x0000_t202" coordsize="21600,21600" o:spt="202" path="m,l,21600r21600,l21600,xe">
                <v:stroke joinstyle="miter"/>
                <v:path gradientshapeok="t" o:connecttype="rect"/>
              </v:shapetype>
              <v:shape id="Text Box 8" o:spid="_x0000_s1026" type="#_x0000_t202" style="position:absolute;left:0;text-align:left;margin-left:0;margin-top:-.05pt;width:89.55pt;height:27.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" fillcolor="white [3201]" strokeweight=".5pt">
                <v:textbox>
                  <w:txbxContent>
                    <w:p w14:paraId="3FF2ACA5" w14:textId="77777777" w:rsidR="00763C25" w:rsidRPr="00763C25" w:rsidRDefault="00763C25" w:rsidP="00763C25">
                      <w:pPr>
                        <w:jc w:val="center"/>
                        <w:rPr>
                          <w:rFonts w:ascii="Times New Roman" w:hAnsi="Times New Roman" w:cs="Times New Roman"/>
                          <w:b/>
                          <w:bCs/>
                          <w:lang w:val="en-US"/>
                        </w:rPr>
                      </w:pPr>
                      <w:r w:rsidRPr="00763C25">
                        <w:rPr>
                          <w:rFonts w:ascii="Times New Roman" w:hAnsi="Times New Roman" w:cs="Times New Roman"/>
                          <w:b/>
                          <w:bCs/>
                          <w:lang w:val="en-US"/>
                        </w:rPr>
                        <w:t>DỰ THẢO 1</w:t>
                      </w:r>
                    </w:p>
                  </w:txbxContent>
                </v:textbox>
              </v:shape>
            </w:pict>
          </mc:Fallback>
        </mc:AlternateContent>
      </w:r>
    </w:p>
    <w:p w14:paraId="11D22608" w14:textId="2FB3DF1F" w:rsidR="00A57DEE" w:rsidRPr="002E198A" w:rsidRDefault="002A5DC6" w:rsidP="00977714">
      <w:pPr>
        <w:pStyle w:val="BodyText"/>
        <w:tabs>
          <w:tab w:val="left" w:pos="1127"/>
          <w:tab w:val="left" w:pos="4061"/>
        </w:tabs>
        <w:spacing w:after="360"/>
        <w:ind w:firstLine="0"/>
        <w:jc w:val="center"/>
        <w:rPr>
          <w:sz w:val="28"/>
          <w:szCs w:val="28"/>
        </w:rPr>
      </w:pPr>
      <w:r w:rsidRPr="002E198A">
        <w:rPr>
          <w:b/>
          <w:bCs/>
          <w:sz w:val="28"/>
          <w:szCs w:val="28"/>
        </w:rPr>
        <w:t>TỜ TRÌNH</w:t>
      </w:r>
    </w:p>
    <w:p w14:paraId="4609AAA4" w14:textId="7FCD0578" w:rsidR="00A57DEE" w:rsidRPr="002E198A" w:rsidRDefault="002A5DC6">
      <w:pPr>
        <w:pStyle w:val="BodyText"/>
        <w:spacing w:after="0"/>
        <w:ind w:firstLine="0"/>
        <w:jc w:val="center"/>
        <w:rPr>
          <w:sz w:val="28"/>
          <w:szCs w:val="28"/>
        </w:rPr>
      </w:pPr>
      <w:r w:rsidRPr="002E198A">
        <w:rPr>
          <w:b/>
          <w:bCs/>
          <w:sz w:val="28"/>
          <w:szCs w:val="28"/>
        </w:rPr>
        <w:t xml:space="preserve">Dự </w:t>
      </w:r>
      <w:bookmarkStart w:id="0" w:name="_Hlk200332366"/>
      <w:r w:rsidRPr="002E198A">
        <w:rPr>
          <w:b/>
          <w:bCs/>
          <w:sz w:val="28"/>
          <w:szCs w:val="28"/>
        </w:rPr>
        <w:t xml:space="preserve">thảo </w:t>
      </w:r>
      <w:bookmarkStart w:id="1" w:name="OLE_LINK4"/>
      <w:r w:rsidRPr="002E198A">
        <w:rPr>
          <w:b/>
          <w:bCs/>
          <w:sz w:val="28"/>
          <w:szCs w:val="28"/>
        </w:rPr>
        <w:t xml:space="preserve">Thông tư </w:t>
      </w:r>
      <w:r w:rsidR="00561C14" w:rsidRPr="002E198A">
        <w:rPr>
          <w:b/>
          <w:bCs/>
          <w:sz w:val="28"/>
          <w:szCs w:val="28"/>
        </w:rPr>
        <w:t xml:space="preserve">liên tịch </w:t>
      </w:r>
      <w:r w:rsidRPr="002E198A">
        <w:rPr>
          <w:b/>
          <w:bCs/>
          <w:sz w:val="28"/>
          <w:szCs w:val="28"/>
        </w:rPr>
        <w:t>sửa đổi</w:t>
      </w:r>
      <w:r w:rsidR="00977714" w:rsidRPr="002E198A">
        <w:rPr>
          <w:b/>
          <w:bCs/>
          <w:sz w:val="28"/>
          <w:szCs w:val="28"/>
          <w:lang w:val="en-US"/>
        </w:rPr>
        <w:t>, bổ sung</w:t>
      </w:r>
      <w:r w:rsidR="00F3300C" w:rsidRPr="002E198A">
        <w:rPr>
          <w:b/>
          <w:bCs/>
          <w:sz w:val="28"/>
          <w:szCs w:val="28"/>
        </w:rPr>
        <w:t xml:space="preserve"> </w:t>
      </w:r>
      <w:r w:rsidRPr="002E198A">
        <w:rPr>
          <w:b/>
          <w:bCs/>
          <w:sz w:val="28"/>
          <w:szCs w:val="28"/>
        </w:rPr>
        <w:t xml:space="preserve">một số điều của </w:t>
      </w:r>
      <w:bookmarkStart w:id="2" w:name="OLE_LINK3"/>
      <w:r w:rsidR="00561C14" w:rsidRPr="002E198A">
        <w:rPr>
          <w:b/>
          <w:bCs/>
          <w:sz w:val="28"/>
          <w:szCs w:val="28"/>
        </w:rPr>
        <w:t xml:space="preserve">Thông tư liên tịch số 12/2016/TTLT-BTP-BNG-TANDTC ngày 19/10/2016 của Bộ Tư pháp, Bộ Ngoại giao, Toà án nhân dân tối cao quy định về trình tự thủ tục tương trợ tư pháp trong lĩnh vực dân sự </w:t>
      </w:r>
      <w:bookmarkEnd w:id="0"/>
      <w:bookmarkEnd w:id="1"/>
    </w:p>
    <w:bookmarkEnd w:id="2"/>
    <w:p w14:paraId="13252EEF" w14:textId="77777777" w:rsidR="00763C25" w:rsidRPr="002E198A" w:rsidRDefault="00763C25">
      <w:pPr>
        <w:pStyle w:val="BodyText"/>
        <w:spacing w:after="520" w:line="223" w:lineRule="auto"/>
        <w:ind w:firstLine="0"/>
        <w:jc w:val="center"/>
        <w:rPr>
          <w:sz w:val="28"/>
          <w:szCs w:val="28"/>
        </w:rPr>
      </w:pPr>
    </w:p>
    <w:p w14:paraId="7CFBC208" w14:textId="641BA210" w:rsidR="00A57DEE" w:rsidRPr="002E198A" w:rsidRDefault="002A5DC6">
      <w:pPr>
        <w:pStyle w:val="BodyText"/>
        <w:spacing w:after="520" w:line="223" w:lineRule="auto"/>
        <w:ind w:firstLine="0"/>
        <w:jc w:val="center"/>
        <w:rPr>
          <w:sz w:val="28"/>
          <w:szCs w:val="28"/>
        </w:rPr>
      </w:pPr>
      <w:r w:rsidRPr="002E198A">
        <w:rPr>
          <w:sz w:val="28"/>
          <w:szCs w:val="28"/>
        </w:rPr>
        <w:t>Kính gửi: Bộ trưởng Nguyễn Hải Ninh</w:t>
      </w:r>
    </w:p>
    <w:p w14:paraId="614F973A" w14:textId="13D05AF5" w:rsidR="00A57DEE" w:rsidRPr="002E198A" w:rsidRDefault="002A5DC6" w:rsidP="002E198A">
      <w:pPr>
        <w:pStyle w:val="BodyText"/>
        <w:spacing w:before="120" w:after="120" w:line="360" w:lineRule="exact"/>
        <w:ind w:left="160" w:firstLine="700"/>
        <w:jc w:val="both"/>
        <w:rPr>
          <w:sz w:val="28"/>
          <w:szCs w:val="28"/>
        </w:rPr>
      </w:pPr>
      <w:r w:rsidRPr="002E198A">
        <w:rPr>
          <w:sz w:val="28"/>
          <w:szCs w:val="28"/>
        </w:rPr>
        <w:t xml:space="preserve">Thực hiện quy định của Luật Ban hành văn bản quy phạm pháp luật, </w:t>
      </w:r>
      <w:r w:rsidR="005023D1" w:rsidRPr="002E198A">
        <w:rPr>
          <w:sz w:val="28"/>
          <w:szCs w:val="28"/>
        </w:rPr>
        <w:t xml:space="preserve">Vụ Pháp luật quốc tế </w:t>
      </w:r>
      <w:r w:rsidRPr="002E198A">
        <w:rPr>
          <w:sz w:val="28"/>
          <w:szCs w:val="28"/>
        </w:rPr>
        <w:t xml:space="preserve">kính trình Bộ trưởng dự thảo Thông tư </w:t>
      </w:r>
      <w:r w:rsidR="005023D1" w:rsidRPr="002E198A">
        <w:rPr>
          <w:sz w:val="28"/>
          <w:szCs w:val="28"/>
        </w:rPr>
        <w:t xml:space="preserve">liên tịch </w:t>
      </w:r>
      <w:r w:rsidRPr="002E198A">
        <w:rPr>
          <w:sz w:val="28"/>
          <w:szCs w:val="28"/>
        </w:rPr>
        <w:t>sửa đổi</w:t>
      </w:r>
      <w:r w:rsidR="00C20FE9" w:rsidRPr="002E198A">
        <w:rPr>
          <w:sz w:val="28"/>
          <w:szCs w:val="28"/>
          <w:lang w:val="en-US"/>
        </w:rPr>
        <w:t>, bổ sung</w:t>
      </w:r>
      <w:r w:rsidR="00872673" w:rsidRPr="002E198A">
        <w:rPr>
          <w:sz w:val="28"/>
          <w:szCs w:val="28"/>
          <w:lang w:val="en-US"/>
        </w:rPr>
        <w:t xml:space="preserve"> </w:t>
      </w:r>
      <w:r w:rsidRPr="002E198A">
        <w:rPr>
          <w:sz w:val="28"/>
          <w:szCs w:val="28"/>
        </w:rPr>
        <w:t xml:space="preserve">một số điều của </w:t>
      </w:r>
      <w:r w:rsidR="005023D1" w:rsidRPr="002E198A">
        <w:rPr>
          <w:sz w:val="28"/>
          <w:szCs w:val="28"/>
        </w:rPr>
        <w:t xml:space="preserve">Thông tư liên tịch số 12/2016/TTLT-BTP-BNG-TANDTC ngày 19/10/2016 của Bộ Tư pháp, Bộ Ngoại giao, Toà án nhân dân tối cao quy định về trình tự thủ tục tương trợ tư pháp trong lĩnh vực dân sự  </w:t>
      </w:r>
      <w:r w:rsidRPr="002E198A">
        <w:rPr>
          <w:sz w:val="28"/>
          <w:szCs w:val="28"/>
        </w:rPr>
        <w:t>(sau đây gọi là dự thảo Thông tư) như sau:</w:t>
      </w:r>
    </w:p>
    <w:p w14:paraId="456982AF" w14:textId="77777777" w:rsidR="00A57DEE" w:rsidRPr="002E198A" w:rsidRDefault="002A5DC6" w:rsidP="002E198A">
      <w:pPr>
        <w:pStyle w:val="BodyText"/>
        <w:numPr>
          <w:ilvl w:val="0"/>
          <w:numId w:val="1"/>
        </w:numPr>
        <w:tabs>
          <w:tab w:val="left" w:pos="1173"/>
        </w:tabs>
        <w:spacing w:before="120" w:after="120" w:line="360" w:lineRule="exact"/>
        <w:ind w:firstLine="860"/>
        <w:jc w:val="both"/>
        <w:rPr>
          <w:sz w:val="28"/>
          <w:szCs w:val="28"/>
        </w:rPr>
      </w:pPr>
      <w:bookmarkStart w:id="3" w:name="bookmark3"/>
      <w:bookmarkEnd w:id="3"/>
      <w:r w:rsidRPr="002E198A">
        <w:rPr>
          <w:b/>
          <w:bCs/>
          <w:sz w:val="28"/>
          <w:szCs w:val="28"/>
        </w:rPr>
        <w:t>SỰ CẦN THIẾT BAN HÀNH THÔNG TƯ</w:t>
      </w:r>
    </w:p>
    <w:p w14:paraId="7BC73BA7" w14:textId="77777777" w:rsidR="00A57DEE" w:rsidRPr="002E198A" w:rsidRDefault="002A5DC6" w:rsidP="002E198A">
      <w:pPr>
        <w:pStyle w:val="Heading20"/>
        <w:keepNext/>
        <w:keepLines/>
        <w:numPr>
          <w:ilvl w:val="0"/>
          <w:numId w:val="2"/>
        </w:numPr>
        <w:tabs>
          <w:tab w:val="left" w:pos="1187"/>
        </w:tabs>
        <w:spacing w:before="120" w:after="120" w:line="360" w:lineRule="exact"/>
        <w:ind w:firstLine="860"/>
        <w:jc w:val="both"/>
        <w:rPr>
          <w:sz w:val="28"/>
          <w:szCs w:val="28"/>
        </w:rPr>
      </w:pPr>
      <w:bookmarkStart w:id="4" w:name="bookmark6"/>
      <w:bookmarkStart w:id="5" w:name="bookmark4"/>
      <w:bookmarkStart w:id="6" w:name="bookmark5"/>
      <w:bookmarkStart w:id="7" w:name="bookmark7"/>
      <w:bookmarkEnd w:id="4"/>
      <w:r w:rsidRPr="002E198A">
        <w:rPr>
          <w:sz w:val="28"/>
          <w:szCs w:val="28"/>
        </w:rPr>
        <w:t>Cơ sở chính trị, pháp lý</w:t>
      </w:r>
      <w:bookmarkEnd w:id="5"/>
      <w:bookmarkEnd w:id="6"/>
      <w:bookmarkEnd w:id="7"/>
    </w:p>
    <w:p w14:paraId="151B26B6" w14:textId="347E543F" w:rsidR="00532888" w:rsidRPr="002E198A" w:rsidRDefault="00532888" w:rsidP="002E198A">
      <w:pPr>
        <w:pStyle w:val="BodyText"/>
        <w:spacing w:before="120" w:after="120" w:line="360" w:lineRule="exact"/>
        <w:ind w:left="158" w:firstLine="706"/>
        <w:jc w:val="both"/>
        <w:rPr>
          <w:i/>
          <w:iCs/>
          <w:sz w:val="28"/>
          <w:szCs w:val="28"/>
          <w:lang w:val="en-US"/>
        </w:rPr>
      </w:pPr>
      <w:r w:rsidRPr="002E198A">
        <w:rPr>
          <w:sz w:val="28"/>
          <w:szCs w:val="28"/>
        </w:rPr>
        <w:t>Nghị quyết số 60-NQ/TW ngày 12/4/2025 của Hội nghị lần thứ 11 Ban Chấp hành Trung ương Đảng khóa XIII</w:t>
      </w:r>
      <w:r w:rsidR="005C5103" w:rsidRPr="002E198A">
        <w:rPr>
          <w:sz w:val="28"/>
          <w:szCs w:val="28"/>
        </w:rPr>
        <w:t xml:space="preserve"> </w:t>
      </w:r>
      <w:r w:rsidR="00721875" w:rsidRPr="002E198A">
        <w:rPr>
          <w:sz w:val="28"/>
          <w:szCs w:val="28"/>
        </w:rPr>
        <w:t xml:space="preserve">(sau đây gọi là </w:t>
      </w:r>
      <w:bookmarkStart w:id="8" w:name="OLE_LINK2"/>
      <w:r w:rsidR="00721875" w:rsidRPr="002E198A">
        <w:rPr>
          <w:sz w:val="28"/>
          <w:szCs w:val="28"/>
        </w:rPr>
        <w:t>Nghị quyết 60-NQ/TW</w:t>
      </w:r>
      <w:bookmarkEnd w:id="8"/>
      <w:r w:rsidR="00721875" w:rsidRPr="002E198A">
        <w:rPr>
          <w:sz w:val="28"/>
          <w:szCs w:val="28"/>
        </w:rPr>
        <w:t xml:space="preserve">) </w:t>
      </w:r>
      <w:r w:rsidRPr="002E198A">
        <w:rPr>
          <w:sz w:val="28"/>
          <w:szCs w:val="28"/>
        </w:rPr>
        <w:t xml:space="preserve">đã </w:t>
      </w:r>
      <w:r w:rsidR="00E34B5A" w:rsidRPr="002E198A">
        <w:rPr>
          <w:sz w:val="28"/>
          <w:szCs w:val="28"/>
        </w:rPr>
        <w:t>xác định</w:t>
      </w:r>
      <w:r w:rsidR="005C5103" w:rsidRPr="002E198A">
        <w:rPr>
          <w:sz w:val="28"/>
          <w:szCs w:val="28"/>
        </w:rPr>
        <w:t xml:space="preserve"> việc sắp xếp, tinh gọn tổ chức bộ máy Tòa án nhân dân, Viện kiểm sát nhân dân gồm</w:t>
      </w:r>
      <w:r w:rsidRPr="002E198A">
        <w:rPr>
          <w:i/>
          <w:iCs/>
          <w:sz w:val="28"/>
          <w:szCs w:val="28"/>
        </w:rPr>
        <w:t xml:space="preserve"> có 3 cấp: Tòa án nhân dân và Viện kiểm sát nhân dân tối cao, cấp tỉnh, cấp khu vực. Kết thúc hoạt động của Tòa án nhân dân, Viện kiểm sát nhân dân cấp cao và Tòa án nhân dân, Viện kiểm sát nhân dân cấp huyện.</w:t>
      </w:r>
    </w:p>
    <w:p w14:paraId="5498E125" w14:textId="5A765550" w:rsidR="00326748" w:rsidRPr="002E198A" w:rsidRDefault="00F564C1" w:rsidP="002E198A">
      <w:pPr>
        <w:pStyle w:val="BodyText"/>
        <w:spacing w:before="120" w:after="120" w:line="360" w:lineRule="exact"/>
        <w:ind w:left="158" w:firstLine="706"/>
        <w:jc w:val="both"/>
        <w:rPr>
          <w:iCs/>
          <w:sz w:val="28"/>
          <w:szCs w:val="28"/>
          <w:lang w:val="es-ES"/>
        </w:rPr>
      </w:pPr>
      <w:r w:rsidRPr="002E198A">
        <w:rPr>
          <w:b/>
          <w:bCs/>
          <w:sz w:val="28"/>
          <w:szCs w:val="28"/>
          <w:lang w:val="en-US"/>
        </w:rPr>
        <w:t xml:space="preserve"> </w:t>
      </w:r>
      <w:r w:rsidRPr="002E198A">
        <w:rPr>
          <w:sz w:val="28"/>
          <w:szCs w:val="28"/>
          <w:lang w:val="en-US"/>
        </w:rPr>
        <w:t xml:space="preserve">Thực hiện </w:t>
      </w:r>
      <w:r w:rsidRPr="002E198A">
        <w:rPr>
          <w:sz w:val="28"/>
          <w:szCs w:val="28"/>
        </w:rPr>
        <w:t>Nghị quyết 60-NQ/TW</w:t>
      </w:r>
      <w:r w:rsidRPr="002E198A">
        <w:rPr>
          <w:sz w:val="28"/>
          <w:szCs w:val="28"/>
          <w:lang w:val="en-US"/>
        </w:rPr>
        <w:t>,</w:t>
      </w:r>
      <w:r w:rsidRPr="002E198A">
        <w:rPr>
          <w:b/>
          <w:bCs/>
          <w:sz w:val="28"/>
          <w:szCs w:val="28"/>
          <w:lang w:val="en-US"/>
        </w:rPr>
        <w:t xml:space="preserve"> </w:t>
      </w:r>
      <w:r w:rsidRPr="002E198A">
        <w:rPr>
          <w:sz w:val="28"/>
          <w:szCs w:val="28"/>
          <w:lang w:val="en-US"/>
        </w:rPr>
        <w:t xml:space="preserve">Tòa án nhân dân tối cao (TANDTC), Viện kiểm sát nhân dân tối cao (VKSNDTC) đã trình Quốc hội Khóa XV </w:t>
      </w:r>
      <w:r w:rsidRPr="002E198A">
        <w:rPr>
          <w:iCs/>
          <w:sz w:val="28"/>
          <w:szCs w:val="28"/>
          <w:lang w:val="es-ES"/>
        </w:rPr>
        <w:t>d</w:t>
      </w:r>
      <w:r w:rsidR="004972BE" w:rsidRPr="002E198A">
        <w:rPr>
          <w:iCs/>
          <w:sz w:val="28"/>
          <w:szCs w:val="28"/>
          <w:lang w:val="es-ES"/>
        </w:rPr>
        <w:t>ự thảo</w:t>
      </w:r>
      <w:r w:rsidR="006D07F1" w:rsidRPr="002E198A">
        <w:rPr>
          <w:iCs/>
          <w:sz w:val="28"/>
          <w:szCs w:val="28"/>
          <w:lang w:val="es-ES"/>
        </w:rPr>
        <w:t xml:space="preserve"> </w:t>
      </w:r>
      <w:r w:rsidR="004972BE" w:rsidRPr="002E198A">
        <w:rPr>
          <w:iCs/>
          <w:sz w:val="28"/>
          <w:szCs w:val="28"/>
          <w:lang w:val="es-ES"/>
        </w:rPr>
        <w:t xml:space="preserve">Luật sửa đổi, bổ sung một số điều của Luật Tổ chức Tòa án nhân dân (sau đây gọi là </w:t>
      </w:r>
      <w:bookmarkStart w:id="9" w:name="_Hlk200298637"/>
      <w:r w:rsidR="004972BE" w:rsidRPr="002E198A">
        <w:rPr>
          <w:iCs/>
          <w:sz w:val="28"/>
          <w:szCs w:val="28"/>
          <w:lang w:val="es-ES"/>
        </w:rPr>
        <w:t>Luật sửa đổi</w:t>
      </w:r>
      <w:r w:rsidR="00C43E0A" w:rsidRPr="002E198A">
        <w:rPr>
          <w:iCs/>
          <w:sz w:val="28"/>
          <w:szCs w:val="28"/>
          <w:lang w:val="es-ES"/>
        </w:rPr>
        <w:t>, bổ sung</w:t>
      </w:r>
      <w:r w:rsidR="004972BE" w:rsidRPr="002E198A">
        <w:rPr>
          <w:iCs/>
          <w:sz w:val="28"/>
          <w:szCs w:val="28"/>
          <w:lang w:val="es-ES"/>
        </w:rPr>
        <w:t xml:space="preserve"> Luật TCTAND</w:t>
      </w:r>
      <w:bookmarkEnd w:id="9"/>
      <w:r w:rsidR="004972BE" w:rsidRPr="002E198A">
        <w:rPr>
          <w:iCs/>
          <w:sz w:val="28"/>
          <w:szCs w:val="28"/>
          <w:lang w:val="es-ES"/>
        </w:rPr>
        <w:t>)</w:t>
      </w:r>
      <w:r w:rsidRPr="002E198A">
        <w:rPr>
          <w:iCs/>
          <w:sz w:val="28"/>
          <w:szCs w:val="28"/>
          <w:lang w:val="es-ES"/>
        </w:rPr>
        <w:t xml:space="preserve"> và dự thảo</w:t>
      </w:r>
      <w:r w:rsidR="004972BE" w:rsidRPr="002E198A">
        <w:rPr>
          <w:iCs/>
          <w:sz w:val="28"/>
          <w:szCs w:val="28"/>
          <w:lang w:val="es-ES"/>
        </w:rPr>
        <w:t xml:space="preserve"> </w:t>
      </w:r>
      <w:r w:rsidRPr="002E198A">
        <w:rPr>
          <w:iCs/>
          <w:sz w:val="28"/>
          <w:szCs w:val="28"/>
          <w:lang w:val="es-ES"/>
        </w:rPr>
        <w:t xml:space="preserve">Luật sửa đổi, bổ sung một số điều của Luật Tổ chức Viện kiểm sát nhân dân (sau đây gọi là Luật sửa đổi, bổ sung Luật TCVKSND), theo đó </w:t>
      </w:r>
      <w:r w:rsidR="00DA509B" w:rsidRPr="002E198A">
        <w:rPr>
          <w:iCs/>
          <w:sz w:val="28"/>
          <w:szCs w:val="28"/>
          <w:lang w:val="es-ES"/>
        </w:rPr>
        <w:t>quy định</w:t>
      </w:r>
      <w:r w:rsidRPr="002E198A">
        <w:rPr>
          <w:iCs/>
          <w:sz w:val="28"/>
          <w:szCs w:val="28"/>
          <w:lang w:val="es-ES"/>
        </w:rPr>
        <w:t xml:space="preserve"> thành lập TAND khu vực, VKSND khu vực, bỏ quy định về </w:t>
      </w:r>
      <w:r w:rsidR="00C43E0A" w:rsidRPr="002E198A">
        <w:rPr>
          <w:iCs/>
          <w:sz w:val="28"/>
          <w:szCs w:val="28"/>
          <w:lang w:val="es-ES"/>
        </w:rPr>
        <w:t>T</w:t>
      </w:r>
      <w:r w:rsidR="004972BE" w:rsidRPr="002E198A">
        <w:rPr>
          <w:iCs/>
          <w:sz w:val="28"/>
          <w:szCs w:val="28"/>
          <w:lang w:val="es-ES"/>
        </w:rPr>
        <w:t>òa án nhân dân cấp cao</w:t>
      </w:r>
      <w:r w:rsidR="00C43E0A" w:rsidRPr="002E198A">
        <w:rPr>
          <w:iCs/>
          <w:sz w:val="28"/>
          <w:szCs w:val="28"/>
          <w:lang w:val="es-ES"/>
        </w:rPr>
        <w:t xml:space="preserve"> và Viện kiểm sát nhân dân cấp cao</w:t>
      </w:r>
      <w:r w:rsidR="004972BE" w:rsidRPr="002E198A">
        <w:rPr>
          <w:iCs/>
          <w:sz w:val="28"/>
          <w:szCs w:val="28"/>
          <w:lang w:val="es-ES"/>
        </w:rPr>
        <w:t>.</w:t>
      </w:r>
      <w:r w:rsidR="009F5743" w:rsidRPr="002E198A">
        <w:rPr>
          <w:iCs/>
          <w:sz w:val="28"/>
          <w:szCs w:val="28"/>
          <w:lang w:val="es-ES"/>
        </w:rPr>
        <w:t xml:space="preserve"> </w:t>
      </w:r>
    </w:p>
    <w:p w14:paraId="39D1A035" w14:textId="77777777" w:rsidR="002B4396" w:rsidRPr="002E198A" w:rsidRDefault="009F5743" w:rsidP="002E198A">
      <w:pPr>
        <w:pStyle w:val="BodyText"/>
        <w:spacing w:before="120" w:after="120" w:line="360" w:lineRule="exact"/>
        <w:ind w:left="158" w:firstLine="706"/>
        <w:jc w:val="both"/>
        <w:rPr>
          <w:iCs/>
          <w:sz w:val="28"/>
          <w:szCs w:val="28"/>
          <w:lang w:val="es-ES"/>
        </w:rPr>
      </w:pPr>
      <w:r w:rsidRPr="002E198A">
        <w:rPr>
          <w:iCs/>
          <w:sz w:val="28"/>
          <w:szCs w:val="28"/>
          <w:lang w:val="es-ES"/>
        </w:rPr>
        <w:t xml:space="preserve">Bên cạnh đó, TANDTC cũng đã trình Quốc hội Khóa XV dự thảo Luật </w:t>
      </w:r>
      <w:r w:rsidRPr="002E198A">
        <w:rPr>
          <w:iCs/>
          <w:sz w:val="28"/>
          <w:szCs w:val="28"/>
          <w:lang w:val="es-ES"/>
        </w:rPr>
        <w:lastRenderedPageBreak/>
        <w:t>sửa đổi, bổ sung một số điều của Bộ luật Tố tụng dân sự, Luật Tố tụng hành chính, Luật Tư pháp người chưa thành niên, Luật Phá sản và Luật Hòa giải đối thoại tại Tòa án (sau đây gọi là dự thảo Luật sửa đổi, bổ sung 05 luật)</w:t>
      </w:r>
      <w:r w:rsidR="002B4396" w:rsidRPr="002E198A">
        <w:rPr>
          <w:iCs/>
          <w:sz w:val="28"/>
          <w:szCs w:val="28"/>
          <w:lang w:val="es-ES"/>
        </w:rPr>
        <w:t xml:space="preserve">. </w:t>
      </w:r>
    </w:p>
    <w:p w14:paraId="791C132C" w14:textId="6C530BA1" w:rsidR="00F564C1" w:rsidRPr="002E198A" w:rsidRDefault="002B4396" w:rsidP="002E198A">
      <w:pPr>
        <w:pStyle w:val="BodyText"/>
        <w:spacing w:before="120" w:after="120" w:line="360" w:lineRule="exact"/>
        <w:ind w:left="158" w:firstLine="706"/>
        <w:jc w:val="both"/>
        <w:rPr>
          <w:iCs/>
          <w:sz w:val="28"/>
          <w:szCs w:val="28"/>
          <w:lang w:val="es-ES"/>
        </w:rPr>
      </w:pPr>
      <w:r w:rsidRPr="002E198A">
        <w:rPr>
          <w:iCs/>
          <w:sz w:val="28"/>
          <w:szCs w:val="28"/>
          <w:lang w:val="es-ES"/>
        </w:rPr>
        <w:t>Dự thảo các luật này sửa đổi các quy định liên quan đến tương trợ tư pháp và thẩm quyền giải quyết các vụ việc dân sự</w:t>
      </w:r>
      <w:r w:rsidR="00EE21E5" w:rsidRPr="002E198A">
        <w:rPr>
          <w:iCs/>
          <w:sz w:val="28"/>
          <w:szCs w:val="28"/>
          <w:lang w:val="es-ES"/>
        </w:rPr>
        <w:t>, vụ án hành chính</w:t>
      </w:r>
      <w:r w:rsidRPr="002E198A">
        <w:rPr>
          <w:iCs/>
          <w:sz w:val="28"/>
          <w:szCs w:val="28"/>
          <w:lang w:val="es-ES"/>
        </w:rPr>
        <w:t xml:space="preserve"> như sau:</w:t>
      </w:r>
    </w:p>
    <w:p w14:paraId="4F1D56CF" w14:textId="0AB8E414" w:rsidR="00F564C1" w:rsidRPr="002E198A" w:rsidRDefault="00015B75" w:rsidP="002E198A">
      <w:pPr>
        <w:pStyle w:val="BodyText"/>
        <w:spacing w:before="120" w:after="120" w:line="360" w:lineRule="exact"/>
        <w:ind w:left="158" w:firstLine="706"/>
        <w:jc w:val="both"/>
        <w:rPr>
          <w:iCs/>
          <w:sz w:val="28"/>
          <w:szCs w:val="28"/>
          <w:lang w:val="es-ES"/>
        </w:rPr>
      </w:pPr>
      <w:r w:rsidRPr="002E198A">
        <w:rPr>
          <w:iCs/>
          <w:sz w:val="28"/>
          <w:szCs w:val="28"/>
          <w:lang w:val="es-ES"/>
        </w:rPr>
        <w:t xml:space="preserve">- </w:t>
      </w:r>
      <w:r w:rsidR="00F564C1" w:rsidRPr="002E198A">
        <w:rPr>
          <w:iCs/>
          <w:sz w:val="28"/>
          <w:szCs w:val="28"/>
          <w:lang w:val="es-ES"/>
        </w:rPr>
        <w:t>Khoản 12 Điều 2 dự thảo Luật sửa đổi</w:t>
      </w:r>
      <w:r w:rsidR="0092253F" w:rsidRPr="002E198A">
        <w:rPr>
          <w:iCs/>
          <w:sz w:val="28"/>
          <w:szCs w:val="28"/>
          <w:lang w:val="es-ES"/>
        </w:rPr>
        <w:t>, bổ sung</w:t>
      </w:r>
      <w:r w:rsidR="00F564C1" w:rsidRPr="002E198A">
        <w:rPr>
          <w:iCs/>
          <w:sz w:val="28"/>
          <w:szCs w:val="28"/>
          <w:lang w:val="es-ES"/>
        </w:rPr>
        <w:t xml:space="preserve"> Luật TCTAND quy định sửa đổi một số điều của Luật Tương trợ tư pháp (Luật TTTP), theo đó sửa đổi Điều 68 Luật TTTP, quy định TAND khu vực thực hiện ủy thác tư pháp của nước ngoài gửi Việt Nam</w:t>
      </w:r>
      <w:r w:rsidR="00AB6E92" w:rsidRPr="002E198A">
        <w:rPr>
          <w:iCs/>
          <w:sz w:val="28"/>
          <w:szCs w:val="28"/>
          <w:lang w:val="es-ES"/>
        </w:rPr>
        <w:t>;</w:t>
      </w:r>
      <w:r w:rsidR="00F564C1" w:rsidRPr="002E198A">
        <w:rPr>
          <w:iCs/>
          <w:sz w:val="28"/>
          <w:szCs w:val="28"/>
          <w:lang w:val="es-ES"/>
        </w:rPr>
        <w:t xml:space="preserve"> </w:t>
      </w:r>
    </w:p>
    <w:p w14:paraId="4D8DC7AF" w14:textId="1118C4FE" w:rsidR="009F5743" w:rsidRPr="002E198A" w:rsidRDefault="00015B75" w:rsidP="002E198A">
      <w:pPr>
        <w:pStyle w:val="BodyText"/>
        <w:spacing w:before="120" w:after="120" w:line="360" w:lineRule="exact"/>
        <w:ind w:left="158" w:firstLine="706"/>
        <w:jc w:val="both"/>
        <w:rPr>
          <w:iCs/>
          <w:sz w:val="28"/>
          <w:szCs w:val="28"/>
          <w:lang w:val="es-ES"/>
        </w:rPr>
      </w:pPr>
      <w:bookmarkStart w:id="10" w:name="_Hlk200299295"/>
      <w:r w:rsidRPr="002E198A">
        <w:rPr>
          <w:iCs/>
          <w:sz w:val="28"/>
          <w:szCs w:val="28"/>
          <w:lang w:val="es-ES"/>
        </w:rPr>
        <w:t>-</w:t>
      </w:r>
      <w:r w:rsidR="004972BE" w:rsidRPr="002E198A">
        <w:rPr>
          <w:iCs/>
          <w:sz w:val="28"/>
          <w:szCs w:val="28"/>
          <w:lang w:val="es-ES"/>
        </w:rPr>
        <w:t xml:space="preserve"> </w:t>
      </w:r>
      <w:bookmarkStart w:id="11" w:name="_Hlk200299321"/>
      <w:bookmarkEnd w:id="10"/>
      <w:r w:rsidR="002B4396" w:rsidRPr="002E198A">
        <w:rPr>
          <w:iCs/>
          <w:sz w:val="28"/>
          <w:szCs w:val="28"/>
          <w:lang w:val="es-ES"/>
        </w:rPr>
        <w:t>K</w:t>
      </w:r>
      <w:r w:rsidR="009F5743" w:rsidRPr="002E198A">
        <w:rPr>
          <w:iCs/>
          <w:sz w:val="28"/>
          <w:szCs w:val="28"/>
          <w:lang w:val="es-ES"/>
        </w:rPr>
        <w:t>hoản 2 Điều 1</w:t>
      </w:r>
      <w:r w:rsidR="00EE21E5" w:rsidRPr="002E198A">
        <w:rPr>
          <w:iCs/>
          <w:sz w:val="28"/>
          <w:szCs w:val="28"/>
          <w:lang w:val="es-ES"/>
        </w:rPr>
        <w:t>,</w:t>
      </w:r>
      <w:r w:rsidR="009F5743" w:rsidRPr="002E198A">
        <w:rPr>
          <w:iCs/>
          <w:sz w:val="28"/>
          <w:szCs w:val="28"/>
          <w:lang w:val="es-ES"/>
        </w:rPr>
        <w:t xml:space="preserve"> </w:t>
      </w:r>
      <w:r w:rsidR="00AB6E92" w:rsidRPr="002E198A">
        <w:rPr>
          <w:iCs/>
          <w:sz w:val="28"/>
          <w:szCs w:val="28"/>
          <w:lang w:val="es-ES"/>
        </w:rPr>
        <w:t>khoản 3 Điều</w:t>
      </w:r>
      <w:r w:rsidR="00EE21E5" w:rsidRPr="002E198A">
        <w:rPr>
          <w:iCs/>
          <w:sz w:val="28"/>
          <w:szCs w:val="28"/>
          <w:lang w:val="es-ES"/>
        </w:rPr>
        <w:t xml:space="preserve"> 2</w:t>
      </w:r>
      <w:r w:rsidR="00AB6E92" w:rsidRPr="002E198A">
        <w:rPr>
          <w:iCs/>
          <w:sz w:val="28"/>
          <w:szCs w:val="28"/>
          <w:lang w:val="es-ES"/>
        </w:rPr>
        <w:t xml:space="preserve"> </w:t>
      </w:r>
      <w:r w:rsidR="009F5743" w:rsidRPr="002E198A">
        <w:rPr>
          <w:iCs/>
          <w:sz w:val="28"/>
          <w:szCs w:val="28"/>
          <w:lang w:val="es-ES"/>
        </w:rPr>
        <w:t>dự thảo Luật sửa đổi 05 luật</w:t>
      </w:r>
      <w:r w:rsidR="00AB6E92" w:rsidRPr="002E198A">
        <w:rPr>
          <w:iCs/>
          <w:sz w:val="28"/>
          <w:szCs w:val="28"/>
          <w:lang w:val="es-ES"/>
        </w:rPr>
        <w:t xml:space="preserve"> sửa đổi, bổ sung Đ</w:t>
      </w:r>
      <w:r w:rsidR="00EE21E5" w:rsidRPr="002E198A">
        <w:rPr>
          <w:iCs/>
          <w:sz w:val="28"/>
          <w:szCs w:val="28"/>
          <w:lang w:val="es-ES"/>
        </w:rPr>
        <w:t>i</w:t>
      </w:r>
      <w:r w:rsidR="00AB6E92" w:rsidRPr="002E198A">
        <w:rPr>
          <w:iCs/>
          <w:sz w:val="28"/>
          <w:szCs w:val="28"/>
          <w:lang w:val="es-ES"/>
        </w:rPr>
        <w:t>ều 36 Bộ luật Tố tụng dân sự</w:t>
      </w:r>
      <w:r w:rsidR="00EE21E5" w:rsidRPr="002E198A">
        <w:rPr>
          <w:iCs/>
          <w:sz w:val="28"/>
          <w:szCs w:val="28"/>
          <w:lang w:val="es-ES"/>
        </w:rPr>
        <w:t xml:space="preserve"> năm 2015</w:t>
      </w:r>
      <w:r w:rsidR="00AB6E92" w:rsidRPr="002E198A">
        <w:rPr>
          <w:iCs/>
          <w:sz w:val="28"/>
          <w:szCs w:val="28"/>
          <w:lang w:val="es-ES"/>
        </w:rPr>
        <w:t xml:space="preserve">, </w:t>
      </w:r>
      <w:r w:rsidR="00EE21E5" w:rsidRPr="002E198A">
        <w:rPr>
          <w:iCs/>
          <w:sz w:val="28"/>
          <w:szCs w:val="28"/>
          <w:lang w:val="es-ES"/>
        </w:rPr>
        <w:t xml:space="preserve">Điều 31 Luật Tố tụng hành chính, </w:t>
      </w:r>
      <w:r w:rsidR="00AB6E92" w:rsidRPr="002E198A">
        <w:rPr>
          <w:iCs/>
          <w:sz w:val="28"/>
          <w:szCs w:val="28"/>
          <w:lang w:val="es-ES"/>
        </w:rPr>
        <w:t>theo đó</w:t>
      </w:r>
      <w:r w:rsidR="00EE21E5" w:rsidRPr="002E198A">
        <w:rPr>
          <w:iCs/>
          <w:sz w:val="28"/>
          <w:szCs w:val="28"/>
          <w:lang w:val="es-ES"/>
        </w:rPr>
        <w:t xml:space="preserve"> </w:t>
      </w:r>
      <w:r w:rsidR="009F5743" w:rsidRPr="002E198A">
        <w:rPr>
          <w:iCs/>
          <w:sz w:val="28"/>
          <w:szCs w:val="28"/>
          <w:lang w:val="es-ES"/>
        </w:rPr>
        <w:t>TAND khu vực có thẩm quyền giải quyết theo thủ tục sơ thẩm tất cả các vụ việc dân sự</w:t>
      </w:r>
      <w:r w:rsidR="00EE21E5" w:rsidRPr="002E198A">
        <w:rPr>
          <w:iCs/>
          <w:sz w:val="28"/>
          <w:szCs w:val="28"/>
          <w:lang w:val="es-ES"/>
        </w:rPr>
        <w:t>, các vụ án hành chính.</w:t>
      </w:r>
    </w:p>
    <w:p w14:paraId="02E43863" w14:textId="678C146D" w:rsidR="00703B74" w:rsidRPr="002E198A" w:rsidRDefault="00703B74" w:rsidP="002E198A">
      <w:pPr>
        <w:pStyle w:val="BodyText"/>
        <w:spacing w:before="120" w:after="120" w:line="360" w:lineRule="exact"/>
        <w:ind w:left="158" w:firstLine="706"/>
        <w:jc w:val="both"/>
        <w:rPr>
          <w:iCs/>
          <w:sz w:val="28"/>
          <w:szCs w:val="28"/>
          <w:lang w:val="en-US"/>
        </w:rPr>
      </w:pPr>
      <w:r w:rsidRPr="002E198A">
        <w:rPr>
          <w:iCs/>
          <w:sz w:val="28"/>
          <w:szCs w:val="28"/>
          <w:lang w:val="en-US"/>
        </w:rPr>
        <w:t>Các</w:t>
      </w:r>
      <w:r w:rsidRPr="002E198A">
        <w:rPr>
          <w:iCs/>
          <w:sz w:val="28"/>
          <w:szCs w:val="28"/>
        </w:rPr>
        <w:t xml:space="preserve"> dự thảo Luật </w:t>
      </w:r>
      <w:r w:rsidRPr="002E198A">
        <w:rPr>
          <w:iCs/>
          <w:sz w:val="28"/>
          <w:szCs w:val="28"/>
          <w:lang w:val="en-US"/>
        </w:rPr>
        <w:t>nêu trên</w:t>
      </w:r>
      <w:r w:rsidRPr="002E198A">
        <w:rPr>
          <w:iCs/>
          <w:sz w:val="28"/>
          <w:szCs w:val="28"/>
        </w:rPr>
        <w:t xml:space="preserve"> sẽ được Quốc hội khoá XV xem xét thông qua tại Kỳ họp thứ 9 và có hiệu lực thi hành từ ngày 01/7/2025</w:t>
      </w:r>
      <w:r w:rsidR="00763C25" w:rsidRPr="002E198A">
        <w:rPr>
          <w:iCs/>
          <w:sz w:val="28"/>
          <w:szCs w:val="28"/>
          <w:lang w:val="en-US"/>
        </w:rPr>
        <w:t>.</w:t>
      </w:r>
    </w:p>
    <w:p w14:paraId="474FD566" w14:textId="01CB8BAB" w:rsidR="00EE21E5" w:rsidRPr="002E198A" w:rsidRDefault="00703B74" w:rsidP="002E198A">
      <w:pPr>
        <w:pStyle w:val="BodyText"/>
        <w:spacing w:before="120" w:after="120" w:line="360" w:lineRule="exact"/>
        <w:ind w:left="158" w:firstLine="706"/>
        <w:jc w:val="both"/>
        <w:rPr>
          <w:iCs/>
          <w:sz w:val="28"/>
          <w:szCs w:val="28"/>
          <w:lang w:val="es-ES"/>
        </w:rPr>
      </w:pPr>
      <w:r w:rsidRPr="002E198A">
        <w:rPr>
          <w:iCs/>
          <w:sz w:val="28"/>
          <w:szCs w:val="28"/>
          <w:lang w:val="es-ES"/>
        </w:rPr>
        <w:t xml:space="preserve">Thông tư liên tịch 12 hướng dẫn thực hiện một số quy định về tương trợ tư pháp trong lĩnh vực dân sự của Luật TTTP, trong đó có quy định về thẩm quyền của tòa án, viện kiểm sát trong tương trợ tư pháp về dân sự. </w:t>
      </w:r>
    </w:p>
    <w:p w14:paraId="69835949" w14:textId="05008CF5" w:rsidR="00703B74" w:rsidRPr="002E198A" w:rsidRDefault="00703B74" w:rsidP="002E198A">
      <w:pPr>
        <w:pStyle w:val="BodyText"/>
        <w:spacing w:before="120" w:after="120" w:line="360" w:lineRule="exact"/>
        <w:ind w:left="158" w:firstLine="706"/>
        <w:jc w:val="both"/>
        <w:rPr>
          <w:iCs/>
          <w:sz w:val="28"/>
          <w:szCs w:val="28"/>
          <w:lang w:val="es-ES"/>
        </w:rPr>
      </w:pPr>
      <w:r w:rsidRPr="002E198A">
        <w:rPr>
          <w:iCs/>
          <w:sz w:val="28"/>
          <w:szCs w:val="28"/>
          <w:lang w:val="es-ES"/>
        </w:rPr>
        <w:t>Khi Luật sửa đổi</w:t>
      </w:r>
      <w:r w:rsidR="0092253F" w:rsidRPr="002E198A">
        <w:rPr>
          <w:iCs/>
          <w:sz w:val="28"/>
          <w:szCs w:val="28"/>
          <w:lang w:val="es-ES"/>
        </w:rPr>
        <w:t>, bổ sung</w:t>
      </w:r>
      <w:r w:rsidRPr="002E198A">
        <w:rPr>
          <w:iCs/>
          <w:sz w:val="28"/>
          <w:szCs w:val="28"/>
          <w:lang w:val="es-ES"/>
        </w:rPr>
        <w:t xml:space="preserve"> Luật TCTAND, Luật sửa đổi</w:t>
      </w:r>
      <w:r w:rsidR="0092253F" w:rsidRPr="002E198A">
        <w:rPr>
          <w:iCs/>
          <w:sz w:val="28"/>
          <w:szCs w:val="28"/>
          <w:lang w:val="es-ES"/>
        </w:rPr>
        <w:t>, bổ sung</w:t>
      </w:r>
      <w:r w:rsidRPr="002E198A">
        <w:rPr>
          <w:iCs/>
          <w:sz w:val="28"/>
          <w:szCs w:val="28"/>
          <w:lang w:val="es-ES"/>
        </w:rPr>
        <w:t xml:space="preserve"> Luật TC</w:t>
      </w:r>
      <w:r w:rsidR="0092253F" w:rsidRPr="002E198A">
        <w:rPr>
          <w:iCs/>
          <w:sz w:val="28"/>
          <w:szCs w:val="28"/>
          <w:lang w:val="es-ES"/>
        </w:rPr>
        <w:t>VKS</w:t>
      </w:r>
      <w:r w:rsidRPr="002E198A">
        <w:rPr>
          <w:iCs/>
          <w:sz w:val="28"/>
          <w:szCs w:val="28"/>
          <w:lang w:val="es-ES"/>
        </w:rPr>
        <w:t>ND, Luật sửa đổi</w:t>
      </w:r>
      <w:r w:rsidR="0092253F" w:rsidRPr="002E198A">
        <w:rPr>
          <w:iCs/>
          <w:sz w:val="28"/>
          <w:szCs w:val="28"/>
          <w:lang w:val="es-ES"/>
        </w:rPr>
        <w:t>, bổ sung</w:t>
      </w:r>
      <w:r w:rsidRPr="002E198A">
        <w:rPr>
          <w:iCs/>
          <w:sz w:val="28"/>
          <w:szCs w:val="28"/>
          <w:lang w:val="es-ES"/>
        </w:rPr>
        <w:t xml:space="preserve"> 05 luật được thông qua thì các quy định về thẩm quyền tương trợ tư pháp về dân sự tại Thông tư liên tịch 12 không còn phù hợp.</w:t>
      </w:r>
    </w:p>
    <w:p w14:paraId="33EA15E4" w14:textId="7E665665" w:rsidR="00E55AC1" w:rsidRPr="002E198A" w:rsidRDefault="00EE21E5" w:rsidP="002E198A">
      <w:pPr>
        <w:pStyle w:val="BodyText"/>
        <w:spacing w:before="120" w:after="120" w:line="360" w:lineRule="exact"/>
        <w:rPr>
          <w:sz w:val="28"/>
          <w:szCs w:val="28"/>
        </w:rPr>
      </w:pPr>
      <w:r w:rsidRPr="002E198A">
        <w:rPr>
          <w:b/>
          <w:bCs/>
          <w:iCs/>
          <w:sz w:val="28"/>
          <w:szCs w:val="28"/>
          <w:lang w:val="es-ES"/>
        </w:rPr>
        <w:tab/>
      </w:r>
      <w:r w:rsidR="00703B74" w:rsidRPr="002E198A">
        <w:rPr>
          <w:b/>
          <w:bCs/>
          <w:iCs/>
          <w:sz w:val="28"/>
          <w:szCs w:val="28"/>
          <w:lang w:val="es-ES"/>
        </w:rPr>
        <w:t xml:space="preserve">2. </w:t>
      </w:r>
      <w:bookmarkStart w:id="12" w:name="bookmark8"/>
      <w:bookmarkStart w:id="13" w:name="bookmark11"/>
      <w:bookmarkStart w:id="14" w:name="bookmark10"/>
      <w:bookmarkStart w:id="15" w:name="bookmark12"/>
      <w:bookmarkStart w:id="16" w:name="bookmark9"/>
      <w:bookmarkEnd w:id="11"/>
      <w:bookmarkEnd w:id="12"/>
      <w:bookmarkEnd w:id="13"/>
      <w:r w:rsidR="002A5DC6" w:rsidRPr="002E198A">
        <w:rPr>
          <w:b/>
          <w:bCs/>
          <w:sz w:val="28"/>
          <w:szCs w:val="28"/>
        </w:rPr>
        <w:t>Cơ sở thực tiễn</w:t>
      </w:r>
      <w:bookmarkEnd w:id="14"/>
      <w:bookmarkEnd w:id="15"/>
      <w:bookmarkEnd w:id="16"/>
    </w:p>
    <w:p w14:paraId="56A891E8" w14:textId="03F89635" w:rsidR="00703B74" w:rsidRPr="002E198A" w:rsidRDefault="00703B74" w:rsidP="002E198A">
      <w:pPr>
        <w:pStyle w:val="BodyText"/>
        <w:spacing w:before="120" w:after="120" w:line="360" w:lineRule="exact"/>
        <w:ind w:firstLine="740"/>
        <w:jc w:val="both"/>
        <w:rPr>
          <w:sz w:val="28"/>
          <w:szCs w:val="28"/>
          <w:lang w:val="en-US"/>
        </w:rPr>
      </w:pPr>
      <w:r w:rsidRPr="002E198A">
        <w:rPr>
          <w:sz w:val="28"/>
          <w:szCs w:val="28"/>
          <w:lang w:val="en-US"/>
        </w:rPr>
        <w:t>T</w:t>
      </w:r>
      <w:r w:rsidR="003A03DE" w:rsidRPr="002E198A">
        <w:rPr>
          <w:sz w:val="28"/>
          <w:szCs w:val="28"/>
        </w:rPr>
        <w:t>hẩm quyền của tòa án</w:t>
      </w:r>
      <w:r w:rsidRPr="002E198A">
        <w:rPr>
          <w:sz w:val="28"/>
          <w:szCs w:val="28"/>
          <w:lang w:val="en-US"/>
        </w:rPr>
        <w:t>, viện kiểm sát</w:t>
      </w:r>
      <w:r w:rsidR="003A03DE" w:rsidRPr="002E198A">
        <w:rPr>
          <w:sz w:val="28"/>
          <w:szCs w:val="28"/>
        </w:rPr>
        <w:t xml:space="preserve"> trong tương trợ tư pháp về dân sự được quy định tại Thông tư liên tịch số 12 </w:t>
      </w:r>
      <w:r w:rsidR="006515DA" w:rsidRPr="002E198A">
        <w:rPr>
          <w:sz w:val="28"/>
          <w:szCs w:val="28"/>
        </w:rPr>
        <w:t>cụ thể</w:t>
      </w:r>
      <w:r w:rsidRPr="002E198A">
        <w:rPr>
          <w:sz w:val="28"/>
          <w:szCs w:val="28"/>
          <w:lang w:val="en-US"/>
        </w:rPr>
        <w:t xml:space="preserve"> như sau</w:t>
      </w:r>
      <w:r w:rsidR="00763C25" w:rsidRPr="002E198A">
        <w:rPr>
          <w:sz w:val="28"/>
          <w:szCs w:val="28"/>
          <w:lang w:val="en-US"/>
        </w:rPr>
        <w:t>:</w:t>
      </w:r>
    </w:p>
    <w:p w14:paraId="2B9BE59B" w14:textId="4C109D53" w:rsidR="006515DA" w:rsidRPr="002E198A" w:rsidRDefault="00703B74" w:rsidP="002E198A">
      <w:pPr>
        <w:pStyle w:val="BodyText"/>
        <w:spacing w:before="120" w:after="120" w:line="360" w:lineRule="exact"/>
        <w:ind w:firstLine="740"/>
        <w:jc w:val="both"/>
        <w:rPr>
          <w:sz w:val="28"/>
          <w:szCs w:val="28"/>
          <w:lang w:val="en-US"/>
        </w:rPr>
      </w:pPr>
      <w:r w:rsidRPr="002E198A">
        <w:rPr>
          <w:sz w:val="28"/>
          <w:szCs w:val="28"/>
          <w:lang w:val="en-US"/>
        </w:rPr>
        <w:t>-</w:t>
      </w:r>
      <w:r w:rsidR="003A03DE" w:rsidRPr="002E198A">
        <w:rPr>
          <w:sz w:val="28"/>
          <w:szCs w:val="28"/>
        </w:rPr>
        <w:t xml:space="preserve"> Thẩm quyền yêu cầu tương trợ tư pháp về dân sự của Việt Nam (ủy thác tư pháp của Việt Nam) bao gồm: </w:t>
      </w:r>
      <w:r w:rsidR="0092253F" w:rsidRPr="002E198A">
        <w:rPr>
          <w:sz w:val="28"/>
          <w:szCs w:val="28"/>
          <w:lang w:val="en-US"/>
        </w:rPr>
        <w:t>Tò</w:t>
      </w:r>
      <w:r w:rsidR="0092253F" w:rsidRPr="002E198A">
        <w:rPr>
          <w:sz w:val="28"/>
          <w:szCs w:val="28"/>
        </w:rPr>
        <w:t xml:space="preserve">a án nhân dân tối cao; Tòa án nhân dân cấp cao; Tòa án nhân dân cấp tỉnh; Viện kiểm sát nhân dân tối cao; Viện kiểm sát nhân dân cấp cao; Viện kiểm sát nhân dân cấp tỉnh </w:t>
      </w:r>
      <w:r w:rsidR="00E3754A" w:rsidRPr="002E198A">
        <w:rPr>
          <w:spacing w:val="-2"/>
          <w:sz w:val="28"/>
          <w:szCs w:val="28"/>
          <w:lang w:val="es-ES"/>
        </w:rPr>
        <w:t xml:space="preserve">(khoản 1 Điều </w:t>
      </w:r>
      <w:r w:rsidR="0092253F" w:rsidRPr="002E198A">
        <w:rPr>
          <w:spacing w:val="-2"/>
          <w:sz w:val="28"/>
          <w:szCs w:val="28"/>
          <w:lang w:val="es-ES"/>
        </w:rPr>
        <w:t>10</w:t>
      </w:r>
      <w:r w:rsidR="00E3754A" w:rsidRPr="002E198A">
        <w:rPr>
          <w:spacing w:val="-2"/>
          <w:sz w:val="28"/>
          <w:szCs w:val="28"/>
          <w:lang w:val="es-ES"/>
        </w:rPr>
        <w:t>)</w:t>
      </w:r>
      <w:r w:rsidR="00E3754A" w:rsidRPr="002E198A">
        <w:rPr>
          <w:sz w:val="28"/>
          <w:szCs w:val="28"/>
        </w:rPr>
        <w:t xml:space="preserve">. </w:t>
      </w:r>
    </w:p>
    <w:p w14:paraId="49E16139" w14:textId="27DE639A" w:rsidR="0092253F" w:rsidRPr="002E198A" w:rsidRDefault="0092253F" w:rsidP="002E198A">
      <w:pPr>
        <w:pStyle w:val="BodyText"/>
        <w:spacing w:before="120" w:after="120" w:line="360" w:lineRule="exact"/>
        <w:ind w:firstLine="740"/>
        <w:jc w:val="both"/>
        <w:rPr>
          <w:sz w:val="28"/>
          <w:szCs w:val="28"/>
          <w:lang w:val="en-US"/>
        </w:rPr>
      </w:pPr>
      <w:r w:rsidRPr="002E198A">
        <w:rPr>
          <w:sz w:val="28"/>
          <w:szCs w:val="28"/>
          <w:lang w:val="en-US"/>
        </w:rPr>
        <w:t>- Thẩm quyền thực hiện tương trợ tư pháp về dân sự của nước ngoài (ủy thác tư pháp của nước ngoài) là Tòa án nhân dân cấp tỉnh (điểm a khoản 1 Điều 17).</w:t>
      </w:r>
    </w:p>
    <w:p w14:paraId="2269DFF2" w14:textId="609FEE59" w:rsidR="0091400D" w:rsidRPr="002E198A" w:rsidRDefault="0092253F" w:rsidP="002E198A">
      <w:pPr>
        <w:pStyle w:val="BodyText"/>
        <w:spacing w:before="120" w:after="120" w:line="360" w:lineRule="exact"/>
        <w:ind w:firstLine="740"/>
        <w:jc w:val="both"/>
        <w:rPr>
          <w:iCs/>
          <w:sz w:val="28"/>
          <w:szCs w:val="28"/>
          <w:lang w:val="es-ES"/>
        </w:rPr>
      </w:pPr>
      <w:r w:rsidRPr="002E198A">
        <w:rPr>
          <w:sz w:val="28"/>
          <w:szCs w:val="28"/>
          <w:lang w:val="en-US"/>
        </w:rPr>
        <w:t>Như vậy</w:t>
      </w:r>
      <w:r w:rsidR="003A03DE" w:rsidRPr="002E198A">
        <w:rPr>
          <w:sz w:val="28"/>
          <w:szCs w:val="28"/>
        </w:rPr>
        <w:t xml:space="preserve">, </w:t>
      </w:r>
      <w:r w:rsidRPr="002E198A">
        <w:rPr>
          <w:sz w:val="28"/>
          <w:szCs w:val="28"/>
          <w:lang w:val="en-US"/>
        </w:rPr>
        <w:t xml:space="preserve">sau </w:t>
      </w:r>
      <w:r w:rsidR="0091400D" w:rsidRPr="002E198A">
        <w:rPr>
          <w:sz w:val="28"/>
          <w:szCs w:val="28"/>
        </w:rPr>
        <w:t>khi Luật</w:t>
      </w:r>
      <w:r w:rsidR="0091400D" w:rsidRPr="002E198A">
        <w:rPr>
          <w:iCs/>
          <w:sz w:val="28"/>
          <w:szCs w:val="28"/>
          <w:lang w:val="es-ES"/>
        </w:rPr>
        <w:t xml:space="preserve"> sửa đổi</w:t>
      </w:r>
      <w:r w:rsidRPr="002E198A">
        <w:rPr>
          <w:iCs/>
          <w:sz w:val="28"/>
          <w:szCs w:val="28"/>
          <w:lang w:val="es-ES"/>
        </w:rPr>
        <w:t>, bổ sung</w:t>
      </w:r>
      <w:r w:rsidR="0091400D" w:rsidRPr="002E198A">
        <w:rPr>
          <w:iCs/>
          <w:sz w:val="28"/>
          <w:szCs w:val="28"/>
          <w:lang w:val="es-ES"/>
        </w:rPr>
        <w:t xml:space="preserve"> Luật TCTAND và Luật sửa đổi</w:t>
      </w:r>
      <w:r w:rsidRPr="002E198A">
        <w:rPr>
          <w:iCs/>
          <w:sz w:val="28"/>
          <w:szCs w:val="28"/>
          <w:lang w:val="es-ES"/>
        </w:rPr>
        <w:t>, bổ sung</w:t>
      </w:r>
      <w:r w:rsidR="0091400D" w:rsidRPr="002E198A">
        <w:rPr>
          <w:iCs/>
          <w:sz w:val="28"/>
          <w:szCs w:val="28"/>
          <w:lang w:val="es-ES"/>
        </w:rPr>
        <w:t xml:space="preserve"> 05 luật có hiệu lực thi hành thì thẩm quyền của </w:t>
      </w:r>
      <w:r w:rsidR="0091400D" w:rsidRPr="002E198A">
        <w:rPr>
          <w:bCs/>
          <w:iCs/>
          <w:sz w:val="28"/>
          <w:szCs w:val="28"/>
          <w:lang w:val="es-ES"/>
        </w:rPr>
        <w:t>tòa án</w:t>
      </w:r>
      <w:r w:rsidRPr="002E198A">
        <w:rPr>
          <w:bCs/>
          <w:iCs/>
          <w:sz w:val="28"/>
          <w:szCs w:val="28"/>
          <w:lang w:val="es-ES"/>
        </w:rPr>
        <w:t>, viện kiểm sát</w:t>
      </w:r>
      <w:r w:rsidR="0091400D" w:rsidRPr="002E198A">
        <w:rPr>
          <w:iCs/>
          <w:sz w:val="28"/>
          <w:szCs w:val="28"/>
          <w:lang w:val="es-ES"/>
        </w:rPr>
        <w:t xml:space="preserve"> trong tương trợ tư pháp dân sự sẽ có sự thay đổi như sau:</w:t>
      </w:r>
    </w:p>
    <w:p w14:paraId="52C10434" w14:textId="4A357D14" w:rsidR="0091400D" w:rsidRPr="002E198A" w:rsidRDefault="0091400D" w:rsidP="002E198A">
      <w:pPr>
        <w:pStyle w:val="BodyText"/>
        <w:spacing w:before="120" w:after="120" w:line="360" w:lineRule="exact"/>
        <w:ind w:firstLine="740"/>
        <w:jc w:val="both"/>
        <w:rPr>
          <w:iCs/>
          <w:sz w:val="28"/>
          <w:szCs w:val="28"/>
          <w:lang w:val="es-ES"/>
        </w:rPr>
      </w:pPr>
      <w:r w:rsidRPr="002E198A">
        <w:rPr>
          <w:iCs/>
          <w:sz w:val="28"/>
          <w:szCs w:val="28"/>
          <w:lang w:val="es-ES"/>
        </w:rPr>
        <w:t xml:space="preserve">- Thẩm quyền yêu cầu tương trợ tư pháp của Việt Nam (ủy thác tư pháp </w:t>
      </w:r>
      <w:r w:rsidRPr="002E198A">
        <w:rPr>
          <w:iCs/>
          <w:sz w:val="28"/>
          <w:szCs w:val="28"/>
          <w:lang w:val="es-ES"/>
        </w:rPr>
        <w:lastRenderedPageBreak/>
        <w:t>của Việt Nam) bao gồm: Tòa án nhân dân tối cao; TAND cấp tỉnh; TAND khu vực;</w:t>
      </w:r>
      <w:r w:rsidR="0092253F" w:rsidRPr="002E198A">
        <w:rPr>
          <w:iCs/>
          <w:sz w:val="28"/>
          <w:szCs w:val="28"/>
          <w:lang w:val="es-ES"/>
        </w:rPr>
        <w:t xml:space="preserve"> Viện kiểm sát nhân dân tối cao; Viện kiểm sát nhân dân cấp tỉnh; VKSND khu vực.</w:t>
      </w:r>
    </w:p>
    <w:p w14:paraId="51CB2F0F" w14:textId="77777777" w:rsidR="0091400D" w:rsidRPr="002E198A" w:rsidRDefault="0091400D" w:rsidP="002E198A">
      <w:pPr>
        <w:pStyle w:val="BodyText"/>
        <w:spacing w:before="120" w:after="120" w:line="360" w:lineRule="exact"/>
        <w:ind w:firstLine="740"/>
        <w:jc w:val="both"/>
        <w:rPr>
          <w:iCs/>
          <w:sz w:val="28"/>
          <w:szCs w:val="28"/>
          <w:lang w:val="es-ES"/>
        </w:rPr>
      </w:pPr>
      <w:r w:rsidRPr="002E198A">
        <w:rPr>
          <w:iCs/>
          <w:sz w:val="28"/>
          <w:szCs w:val="28"/>
          <w:lang w:val="es-ES"/>
        </w:rPr>
        <w:t>- Thẩm quyền thực hiện yêu cầu tương trợ tư pháp của nước ngoài (ủy thác tư pháp của nước ngoài gửi Việt Nam): TAND khu vực.</w:t>
      </w:r>
    </w:p>
    <w:p w14:paraId="07288F46" w14:textId="654C61AB" w:rsidR="009F4CA1" w:rsidRPr="002E198A" w:rsidRDefault="008A798C" w:rsidP="002E198A">
      <w:pPr>
        <w:pStyle w:val="BodyText"/>
        <w:spacing w:before="120" w:after="120" w:line="360" w:lineRule="exact"/>
        <w:ind w:firstLine="720"/>
        <w:jc w:val="both"/>
        <w:rPr>
          <w:iCs/>
          <w:sz w:val="28"/>
          <w:szCs w:val="28"/>
          <w:lang w:val="es-ES"/>
        </w:rPr>
      </w:pPr>
      <w:r w:rsidRPr="002E198A">
        <w:rPr>
          <w:iCs/>
          <w:sz w:val="28"/>
          <w:szCs w:val="28"/>
          <w:lang w:val="es-ES"/>
        </w:rPr>
        <w:t>Do đó, quy định tại Điều 10, Điều 17 và một số biểu mẫu ban hành kèm theo Thông tư liên tịch số 12</w:t>
      </w:r>
      <w:r w:rsidR="009336E8" w:rsidRPr="002E198A">
        <w:rPr>
          <w:iCs/>
          <w:sz w:val="28"/>
          <w:szCs w:val="28"/>
          <w:lang w:val="es-ES"/>
        </w:rPr>
        <w:t xml:space="preserve"> </w:t>
      </w:r>
      <w:r w:rsidR="00C94A1A" w:rsidRPr="002E198A">
        <w:rPr>
          <w:iCs/>
          <w:sz w:val="28"/>
          <w:szCs w:val="28"/>
          <w:lang w:val="es-ES"/>
        </w:rPr>
        <w:t>không còn phù hợp với thực tiễn</w:t>
      </w:r>
      <w:r w:rsidRPr="002E198A">
        <w:rPr>
          <w:sz w:val="28"/>
          <w:szCs w:val="28"/>
          <w:lang w:val="es-ES"/>
        </w:rPr>
        <w:t xml:space="preserve"> khi hệ thống tòa án, viện kiểm sát đã thay đổi cả về cơ cấu tổ chức và thẩm quyền.</w:t>
      </w:r>
      <w:r w:rsidR="009F4CA1" w:rsidRPr="002E198A">
        <w:rPr>
          <w:sz w:val="28"/>
          <w:szCs w:val="28"/>
          <w:lang w:val="es-ES"/>
        </w:rPr>
        <w:t xml:space="preserve"> </w:t>
      </w:r>
    </w:p>
    <w:p w14:paraId="664A05EB" w14:textId="3E4BD05C" w:rsidR="0092253F" w:rsidRPr="002E198A" w:rsidRDefault="002A5DC6" w:rsidP="002E198A">
      <w:pPr>
        <w:pStyle w:val="BodyText"/>
        <w:spacing w:before="120" w:after="120" w:line="360" w:lineRule="exact"/>
        <w:ind w:left="158" w:firstLine="706"/>
        <w:jc w:val="both"/>
        <w:rPr>
          <w:iCs/>
          <w:sz w:val="28"/>
          <w:szCs w:val="28"/>
          <w:lang w:val="es-ES"/>
        </w:rPr>
      </w:pPr>
      <w:r w:rsidRPr="002E198A">
        <w:rPr>
          <w:sz w:val="28"/>
          <w:szCs w:val="28"/>
        </w:rPr>
        <w:t>Từ cơ sở pháp lý và cơ sở thực tiễn n</w:t>
      </w:r>
      <w:r w:rsidR="00872673" w:rsidRPr="002E198A">
        <w:rPr>
          <w:sz w:val="28"/>
          <w:szCs w:val="28"/>
        </w:rPr>
        <w:t>êu trên cho thấy, việc sửa đổi</w:t>
      </w:r>
      <w:r w:rsidR="00A34A1D" w:rsidRPr="002E198A">
        <w:rPr>
          <w:sz w:val="28"/>
          <w:szCs w:val="28"/>
          <w:lang w:val="en-US"/>
        </w:rPr>
        <w:t>, bổ sung</w:t>
      </w:r>
      <w:r w:rsidR="00872673" w:rsidRPr="002E198A">
        <w:rPr>
          <w:sz w:val="28"/>
          <w:szCs w:val="28"/>
          <w:lang w:val="en-US"/>
        </w:rPr>
        <w:t xml:space="preserve"> </w:t>
      </w:r>
      <w:r w:rsidRPr="002E198A">
        <w:rPr>
          <w:sz w:val="28"/>
          <w:szCs w:val="28"/>
        </w:rPr>
        <w:t xml:space="preserve">một số điều của Thông tư </w:t>
      </w:r>
      <w:r w:rsidR="003C1D65" w:rsidRPr="002E198A">
        <w:rPr>
          <w:sz w:val="28"/>
          <w:szCs w:val="28"/>
          <w:lang w:val="es-ES"/>
        </w:rPr>
        <w:t xml:space="preserve">liên tịch </w:t>
      </w:r>
      <w:r w:rsidRPr="002E198A">
        <w:rPr>
          <w:sz w:val="28"/>
          <w:szCs w:val="28"/>
        </w:rPr>
        <w:t>số</w:t>
      </w:r>
      <w:r w:rsidR="003C1D65" w:rsidRPr="002E198A">
        <w:rPr>
          <w:sz w:val="28"/>
          <w:szCs w:val="28"/>
          <w:lang w:val="es-ES"/>
        </w:rPr>
        <w:t xml:space="preserve"> </w:t>
      </w:r>
      <w:r w:rsidR="003C1D65" w:rsidRPr="002E198A">
        <w:rPr>
          <w:sz w:val="28"/>
          <w:szCs w:val="28"/>
        </w:rPr>
        <w:t>12</w:t>
      </w:r>
      <w:r w:rsidRPr="002E198A">
        <w:rPr>
          <w:sz w:val="28"/>
          <w:szCs w:val="28"/>
        </w:rPr>
        <w:t xml:space="preserve"> là cần thiết</w:t>
      </w:r>
      <w:r w:rsidR="0092253F" w:rsidRPr="002E198A">
        <w:rPr>
          <w:iCs/>
          <w:sz w:val="28"/>
          <w:szCs w:val="28"/>
          <w:lang w:val="es-ES"/>
        </w:rPr>
        <w:t xml:space="preserve"> để đảm bảo thi hành </w:t>
      </w:r>
      <w:r w:rsidR="008A798C" w:rsidRPr="002E198A">
        <w:rPr>
          <w:iCs/>
          <w:sz w:val="28"/>
          <w:szCs w:val="28"/>
          <w:lang w:val="es-ES"/>
        </w:rPr>
        <w:t>Luật sửa đổi, bổ sung Luật TCTAND, Luật sửa đổi, bổ sung Luật TCVKSND, Luật sửa đổi bổ sung 05 luật, đồng thời</w:t>
      </w:r>
      <w:r w:rsidR="0092253F" w:rsidRPr="002E198A">
        <w:rPr>
          <w:iCs/>
          <w:sz w:val="28"/>
          <w:szCs w:val="28"/>
          <w:lang w:val="es-ES"/>
        </w:rPr>
        <w:t xml:space="preserve"> đảm bảo sự thống nhất của hệ thống pháp luật.</w:t>
      </w:r>
    </w:p>
    <w:p w14:paraId="10A5D1E9" w14:textId="62B5F56C" w:rsidR="00A57DEE" w:rsidRPr="002E198A" w:rsidRDefault="002A5DC6" w:rsidP="002E198A">
      <w:pPr>
        <w:pStyle w:val="Heading10"/>
        <w:keepNext/>
        <w:keepLines/>
        <w:spacing w:before="120" w:after="120" w:line="360" w:lineRule="exact"/>
        <w:jc w:val="both"/>
        <w:rPr>
          <w:sz w:val="28"/>
          <w:szCs w:val="28"/>
          <w:lang w:val="en-US"/>
        </w:rPr>
      </w:pPr>
      <w:bookmarkStart w:id="17" w:name="bookmark15"/>
      <w:bookmarkStart w:id="18" w:name="bookmark16"/>
      <w:bookmarkStart w:id="19" w:name="bookmark17"/>
      <w:r w:rsidRPr="002E198A">
        <w:rPr>
          <w:sz w:val="28"/>
          <w:szCs w:val="28"/>
        </w:rPr>
        <w:t>II. MỤC ĐÍCH BAN HÀNH, QUAN ĐIỂM XÂY DỰNG D</w:t>
      </w:r>
      <w:r w:rsidR="00A40DA3" w:rsidRPr="002E198A">
        <w:rPr>
          <w:sz w:val="28"/>
          <w:szCs w:val="28"/>
        </w:rPr>
        <w:t>Ự</w:t>
      </w:r>
      <w:r w:rsidRPr="002E198A">
        <w:rPr>
          <w:sz w:val="28"/>
          <w:szCs w:val="28"/>
        </w:rPr>
        <w:t xml:space="preserve"> THẢO THÔNG </w:t>
      </w:r>
      <w:r w:rsidRPr="002E198A">
        <w:rPr>
          <w:smallCaps/>
          <w:sz w:val="28"/>
          <w:szCs w:val="28"/>
        </w:rPr>
        <w:t>T</w:t>
      </w:r>
      <w:r w:rsidR="003C1D65" w:rsidRPr="002E198A">
        <w:rPr>
          <w:smallCaps/>
          <w:sz w:val="28"/>
          <w:szCs w:val="28"/>
        </w:rPr>
        <w:t>Ư</w:t>
      </w:r>
      <w:bookmarkEnd w:id="17"/>
      <w:bookmarkEnd w:id="18"/>
      <w:bookmarkEnd w:id="19"/>
    </w:p>
    <w:p w14:paraId="44728B1F" w14:textId="77777777" w:rsidR="00A57DEE" w:rsidRPr="002E198A" w:rsidRDefault="002A5DC6" w:rsidP="002E198A">
      <w:pPr>
        <w:pStyle w:val="Heading20"/>
        <w:keepNext/>
        <w:keepLines/>
        <w:numPr>
          <w:ilvl w:val="0"/>
          <w:numId w:val="4"/>
        </w:numPr>
        <w:tabs>
          <w:tab w:val="left" w:pos="1043"/>
        </w:tabs>
        <w:spacing w:before="120" w:after="120" w:line="360" w:lineRule="exact"/>
        <w:jc w:val="both"/>
        <w:rPr>
          <w:sz w:val="28"/>
          <w:szCs w:val="28"/>
        </w:rPr>
      </w:pPr>
      <w:bookmarkStart w:id="20" w:name="bookmark20"/>
      <w:bookmarkStart w:id="21" w:name="bookmark18"/>
      <w:bookmarkStart w:id="22" w:name="bookmark19"/>
      <w:bookmarkStart w:id="23" w:name="bookmark21"/>
      <w:bookmarkEnd w:id="20"/>
      <w:r w:rsidRPr="002E198A">
        <w:rPr>
          <w:sz w:val="28"/>
          <w:szCs w:val="28"/>
        </w:rPr>
        <w:t>Mục đích ban hành Thông tư</w:t>
      </w:r>
      <w:bookmarkEnd w:id="21"/>
      <w:bookmarkEnd w:id="22"/>
      <w:bookmarkEnd w:id="23"/>
    </w:p>
    <w:p w14:paraId="794FF5EE" w14:textId="6E714534" w:rsidR="00A57DEE" w:rsidRPr="002E198A" w:rsidRDefault="002A5DC6" w:rsidP="002E198A">
      <w:pPr>
        <w:pStyle w:val="BodyText"/>
        <w:numPr>
          <w:ilvl w:val="0"/>
          <w:numId w:val="3"/>
        </w:numPr>
        <w:tabs>
          <w:tab w:val="left" w:pos="913"/>
        </w:tabs>
        <w:spacing w:before="120" w:after="120" w:line="360" w:lineRule="exact"/>
        <w:ind w:firstLine="740"/>
        <w:jc w:val="both"/>
        <w:rPr>
          <w:color w:val="auto"/>
          <w:sz w:val="28"/>
          <w:szCs w:val="28"/>
        </w:rPr>
      </w:pPr>
      <w:bookmarkStart w:id="24" w:name="bookmark22"/>
      <w:bookmarkEnd w:id="24"/>
      <w:r w:rsidRPr="002E198A">
        <w:rPr>
          <w:color w:val="auto"/>
          <w:sz w:val="28"/>
          <w:szCs w:val="28"/>
        </w:rPr>
        <w:t xml:space="preserve">Đảm bảo </w:t>
      </w:r>
      <w:r w:rsidR="00C43E0A" w:rsidRPr="002E198A">
        <w:rPr>
          <w:color w:val="auto"/>
          <w:sz w:val="28"/>
          <w:szCs w:val="28"/>
          <w:lang w:val="en-US"/>
        </w:rPr>
        <w:t>thi hành</w:t>
      </w:r>
      <w:r w:rsidR="00C43E0A" w:rsidRPr="002E198A">
        <w:rPr>
          <w:color w:val="auto"/>
          <w:sz w:val="28"/>
          <w:szCs w:val="28"/>
        </w:rPr>
        <w:t xml:space="preserve"> Luật </w:t>
      </w:r>
      <w:r w:rsidR="00C43E0A" w:rsidRPr="002E198A">
        <w:rPr>
          <w:color w:val="auto"/>
          <w:sz w:val="28"/>
          <w:szCs w:val="28"/>
          <w:lang w:val="en-US"/>
        </w:rPr>
        <w:t xml:space="preserve">sửa đổi, bổ sung Luật </w:t>
      </w:r>
      <w:r w:rsidR="00C43E0A" w:rsidRPr="002E198A">
        <w:rPr>
          <w:color w:val="auto"/>
          <w:sz w:val="28"/>
          <w:szCs w:val="28"/>
        </w:rPr>
        <w:t xml:space="preserve">TCVKSND; Luật </w:t>
      </w:r>
      <w:r w:rsidR="00C43E0A" w:rsidRPr="002E198A">
        <w:rPr>
          <w:color w:val="auto"/>
          <w:sz w:val="28"/>
          <w:szCs w:val="28"/>
          <w:lang w:val="en-US"/>
        </w:rPr>
        <w:t xml:space="preserve">sửa đổi, bổ sung Luật </w:t>
      </w:r>
      <w:r w:rsidR="00C43E0A" w:rsidRPr="002E198A">
        <w:rPr>
          <w:color w:val="auto"/>
          <w:sz w:val="28"/>
          <w:szCs w:val="28"/>
        </w:rPr>
        <w:t>TCTAND</w:t>
      </w:r>
      <w:r w:rsidR="00C43E0A" w:rsidRPr="002E198A">
        <w:rPr>
          <w:color w:val="auto"/>
          <w:sz w:val="28"/>
          <w:szCs w:val="28"/>
          <w:lang w:val="en-US"/>
        </w:rPr>
        <w:t xml:space="preserve">; Luật sửa đổi, bổ sung 05 Luật </w:t>
      </w:r>
      <w:r w:rsidR="00C43E0A" w:rsidRPr="002E198A">
        <w:rPr>
          <w:color w:val="auto"/>
          <w:sz w:val="28"/>
          <w:szCs w:val="28"/>
        </w:rPr>
        <w:t xml:space="preserve"> </w:t>
      </w:r>
      <w:r w:rsidR="00C43E0A" w:rsidRPr="002E198A">
        <w:rPr>
          <w:color w:val="auto"/>
          <w:sz w:val="28"/>
          <w:szCs w:val="28"/>
          <w:lang w:val="en-US"/>
        </w:rPr>
        <w:t>sau khi có hiệu lực</w:t>
      </w:r>
      <w:r w:rsidR="006B38C1" w:rsidRPr="002E198A">
        <w:rPr>
          <w:color w:val="auto"/>
          <w:sz w:val="28"/>
          <w:szCs w:val="28"/>
          <w:lang w:val="en-US"/>
        </w:rPr>
        <w:t>.</w:t>
      </w:r>
    </w:p>
    <w:p w14:paraId="0B9AAB38" w14:textId="63144261" w:rsidR="00A57DEE" w:rsidRPr="002E198A" w:rsidRDefault="008A798C" w:rsidP="002E198A">
      <w:pPr>
        <w:pStyle w:val="BodyText"/>
        <w:numPr>
          <w:ilvl w:val="0"/>
          <w:numId w:val="3"/>
        </w:numPr>
        <w:tabs>
          <w:tab w:val="left" w:pos="922"/>
        </w:tabs>
        <w:spacing w:before="120" w:after="120" w:line="360" w:lineRule="exact"/>
        <w:ind w:firstLine="740"/>
        <w:jc w:val="both"/>
        <w:rPr>
          <w:sz w:val="28"/>
          <w:szCs w:val="28"/>
        </w:rPr>
      </w:pPr>
      <w:bookmarkStart w:id="25" w:name="bookmark23"/>
      <w:bookmarkEnd w:id="25"/>
      <w:r w:rsidRPr="002E198A">
        <w:rPr>
          <w:sz w:val="28"/>
          <w:szCs w:val="28"/>
          <w:lang w:val="en-US"/>
        </w:rPr>
        <w:t>Đảm bảo sự</w:t>
      </w:r>
      <w:r w:rsidR="002A5DC6" w:rsidRPr="002E198A">
        <w:rPr>
          <w:sz w:val="28"/>
          <w:szCs w:val="28"/>
        </w:rPr>
        <w:t xml:space="preserve"> thống nhất </w:t>
      </w:r>
      <w:r w:rsidRPr="002E198A">
        <w:rPr>
          <w:sz w:val="28"/>
          <w:szCs w:val="28"/>
          <w:lang w:val="en-US"/>
        </w:rPr>
        <w:t>của hệ thống văn bản quy phạm pháp luật</w:t>
      </w:r>
      <w:r w:rsidR="002A5DC6" w:rsidRPr="002E198A">
        <w:rPr>
          <w:sz w:val="28"/>
          <w:szCs w:val="28"/>
        </w:rPr>
        <w:t>.</w:t>
      </w:r>
    </w:p>
    <w:p w14:paraId="73343BE0" w14:textId="77777777" w:rsidR="00A57DEE" w:rsidRPr="002E198A" w:rsidRDefault="002A5DC6" w:rsidP="002E198A">
      <w:pPr>
        <w:pStyle w:val="Heading20"/>
        <w:keepNext/>
        <w:keepLines/>
        <w:numPr>
          <w:ilvl w:val="0"/>
          <w:numId w:val="4"/>
        </w:numPr>
        <w:tabs>
          <w:tab w:val="left" w:pos="1098"/>
        </w:tabs>
        <w:spacing w:before="120" w:after="120" w:line="360" w:lineRule="exact"/>
        <w:ind w:firstLine="720"/>
        <w:jc w:val="both"/>
        <w:rPr>
          <w:sz w:val="28"/>
          <w:szCs w:val="28"/>
        </w:rPr>
      </w:pPr>
      <w:bookmarkStart w:id="26" w:name="bookmark24"/>
      <w:bookmarkStart w:id="27" w:name="bookmark27"/>
      <w:bookmarkStart w:id="28" w:name="bookmark25"/>
      <w:bookmarkStart w:id="29" w:name="bookmark26"/>
      <w:bookmarkStart w:id="30" w:name="bookmark28"/>
      <w:bookmarkEnd w:id="26"/>
      <w:bookmarkEnd w:id="27"/>
      <w:r w:rsidRPr="002E198A">
        <w:rPr>
          <w:sz w:val="28"/>
          <w:szCs w:val="28"/>
        </w:rPr>
        <w:t>Quan điểm xây dựng dự thảo Thông tư</w:t>
      </w:r>
      <w:bookmarkEnd w:id="28"/>
      <w:bookmarkEnd w:id="29"/>
      <w:bookmarkEnd w:id="30"/>
    </w:p>
    <w:p w14:paraId="35E9EE98" w14:textId="7A79CBE7" w:rsidR="00A57DEE" w:rsidRPr="002E198A" w:rsidRDefault="00872673" w:rsidP="002E198A">
      <w:pPr>
        <w:pStyle w:val="BodyText"/>
        <w:numPr>
          <w:ilvl w:val="0"/>
          <w:numId w:val="3"/>
        </w:numPr>
        <w:tabs>
          <w:tab w:val="left" w:pos="982"/>
        </w:tabs>
        <w:spacing w:before="120" w:after="120" w:line="360" w:lineRule="exact"/>
        <w:ind w:firstLine="720"/>
        <w:jc w:val="both"/>
        <w:rPr>
          <w:sz w:val="28"/>
          <w:szCs w:val="28"/>
        </w:rPr>
      </w:pPr>
      <w:bookmarkStart w:id="31" w:name="bookmark29"/>
      <w:bookmarkEnd w:id="31"/>
      <w:r w:rsidRPr="002E198A">
        <w:rPr>
          <w:sz w:val="28"/>
          <w:szCs w:val="28"/>
        </w:rPr>
        <w:t>Việc sửa đổi</w:t>
      </w:r>
      <w:r w:rsidR="00A34A1D" w:rsidRPr="002E198A">
        <w:rPr>
          <w:sz w:val="28"/>
          <w:szCs w:val="28"/>
          <w:lang w:val="en-US"/>
        </w:rPr>
        <w:t>, bổ sung</w:t>
      </w:r>
      <w:r w:rsidRPr="002E198A">
        <w:rPr>
          <w:sz w:val="28"/>
          <w:szCs w:val="28"/>
          <w:lang w:val="en-US"/>
        </w:rPr>
        <w:t xml:space="preserve"> </w:t>
      </w:r>
      <w:r w:rsidR="002A5DC6" w:rsidRPr="002E198A">
        <w:rPr>
          <w:sz w:val="28"/>
          <w:szCs w:val="28"/>
        </w:rPr>
        <w:t xml:space="preserve">một số điều của </w:t>
      </w:r>
      <w:r w:rsidR="005F72FB" w:rsidRPr="002E198A">
        <w:rPr>
          <w:sz w:val="28"/>
          <w:szCs w:val="28"/>
        </w:rPr>
        <w:t xml:space="preserve">Thông tư liên tịch số </w:t>
      </w:r>
      <w:r w:rsidR="00BD4139" w:rsidRPr="002E198A">
        <w:rPr>
          <w:sz w:val="28"/>
          <w:szCs w:val="28"/>
        </w:rPr>
        <w:t>12</w:t>
      </w:r>
      <w:r w:rsidR="005F72FB" w:rsidRPr="002E198A">
        <w:rPr>
          <w:sz w:val="28"/>
          <w:szCs w:val="28"/>
        </w:rPr>
        <w:t xml:space="preserve"> </w:t>
      </w:r>
      <w:r w:rsidR="002A5DC6" w:rsidRPr="002E198A">
        <w:rPr>
          <w:sz w:val="28"/>
          <w:szCs w:val="28"/>
        </w:rPr>
        <w:t>phải phù hợp với quy định pháp luật về ban hành văn bản quy phạm pháp luật và các văn bản quy phạm pháp luật khác có liên quan.</w:t>
      </w:r>
    </w:p>
    <w:p w14:paraId="6A731E8C" w14:textId="3931EF00" w:rsidR="00A57DEE" w:rsidRPr="002E198A" w:rsidRDefault="002A5DC6" w:rsidP="002E198A">
      <w:pPr>
        <w:pStyle w:val="BodyText"/>
        <w:numPr>
          <w:ilvl w:val="0"/>
          <w:numId w:val="3"/>
        </w:numPr>
        <w:tabs>
          <w:tab w:val="left" w:pos="982"/>
        </w:tabs>
        <w:spacing w:before="120" w:after="120" w:line="360" w:lineRule="exact"/>
        <w:ind w:firstLine="720"/>
        <w:jc w:val="both"/>
        <w:rPr>
          <w:sz w:val="28"/>
          <w:szCs w:val="28"/>
        </w:rPr>
      </w:pPr>
      <w:bookmarkStart w:id="32" w:name="bookmark30"/>
      <w:bookmarkEnd w:id="32"/>
      <w:r w:rsidRPr="002E198A">
        <w:rPr>
          <w:sz w:val="28"/>
          <w:szCs w:val="28"/>
        </w:rPr>
        <w:t>Nội dung sửa đổi</w:t>
      </w:r>
      <w:r w:rsidR="00A34A1D" w:rsidRPr="002E198A">
        <w:rPr>
          <w:sz w:val="28"/>
          <w:szCs w:val="28"/>
          <w:lang w:val="en-US"/>
        </w:rPr>
        <w:t>, bổ sung</w:t>
      </w:r>
      <w:r w:rsidR="00F3300C" w:rsidRPr="002E198A">
        <w:rPr>
          <w:sz w:val="28"/>
          <w:szCs w:val="28"/>
        </w:rPr>
        <w:t xml:space="preserve"> </w:t>
      </w:r>
      <w:r w:rsidRPr="002E198A">
        <w:rPr>
          <w:sz w:val="28"/>
          <w:szCs w:val="28"/>
        </w:rPr>
        <w:t xml:space="preserve">bảo đảm phù hợp với </w:t>
      </w:r>
      <w:r w:rsidR="005F72FB" w:rsidRPr="002E198A">
        <w:rPr>
          <w:sz w:val="28"/>
          <w:szCs w:val="28"/>
        </w:rPr>
        <w:t xml:space="preserve">dự thảo </w:t>
      </w:r>
      <w:r w:rsidR="005F72FB" w:rsidRPr="002E198A">
        <w:rPr>
          <w:iCs/>
          <w:sz w:val="28"/>
          <w:szCs w:val="28"/>
          <w:lang w:val="es-ES"/>
        </w:rPr>
        <w:t xml:space="preserve">Luật sửa đổi Luật TCTAND; dự thảo Luật sửa đổi 05 luật, </w:t>
      </w:r>
      <w:r w:rsidRPr="002E198A">
        <w:rPr>
          <w:sz w:val="28"/>
          <w:szCs w:val="28"/>
        </w:rPr>
        <w:t xml:space="preserve">các điều ước quốc tế về </w:t>
      </w:r>
      <w:r w:rsidR="005F72FB" w:rsidRPr="002E198A">
        <w:rPr>
          <w:sz w:val="28"/>
          <w:szCs w:val="28"/>
        </w:rPr>
        <w:t>tương trợ tư pháp mà</w:t>
      </w:r>
      <w:r w:rsidRPr="002E198A">
        <w:rPr>
          <w:sz w:val="28"/>
          <w:szCs w:val="28"/>
        </w:rPr>
        <w:t xml:space="preserve"> Việt Nam là thành viên và các văn bản pháp luật khác có liên quan.</w:t>
      </w:r>
    </w:p>
    <w:p w14:paraId="74EA17B7" w14:textId="4F331D1D" w:rsidR="00A57DEE" w:rsidRPr="002E198A" w:rsidRDefault="002A5DC6" w:rsidP="002E198A">
      <w:pPr>
        <w:pStyle w:val="BodyText"/>
        <w:numPr>
          <w:ilvl w:val="0"/>
          <w:numId w:val="5"/>
        </w:numPr>
        <w:tabs>
          <w:tab w:val="left" w:pos="1270"/>
        </w:tabs>
        <w:spacing w:before="120" w:after="120" w:line="360" w:lineRule="exact"/>
        <w:ind w:firstLine="720"/>
        <w:jc w:val="both"/>
        <w:rPr>
          <w:sz w:val="28"/>
          <w:szCs w:val="28"/>
        </w:rPr>
      </w:pPr>
      <w:bookmarkStart w:id="33" w:name="bookmark31"/>
      <w:bookmarkStart w:id="34" w:name="bookmark32"/>
      <w:bookmarkEnd w:id="33"/>
      <w:bookmarkEnd w:id="34"/>
      <w:r w:rsidRPr="002E198A">
        <w:rPr>
          <w:b/>
          <w:bCs/>
          <w:sz w:val="28"/>
          <w:szCs w:val="28"/>
        </w:rPr>
        <w:t xml:space="preserve">QUÁ TRÌNH XÂY DỰNG </w:t>
      </w:r>
      <w:r w:rsidR="005F72FB" w:rsidRPr="002E198A">
        <w:rPr>
          <w:b/>
          <w:bCs/>
          <w:sz w:val="28"/>
          <w:szCs w:val="28"/>
        </w:rPr>
        <w:t xml:space="preserve">DỰ THẢO THÔNG TƯ </w:t>
      </w:r>
    </w:p>
    <w:p w14:paraId="539CBB2B" w14:textId="7F0C511A" w:rsidR="00A57DEE" w:rsidRPr="002E198A" w:rsidRDefault="002A5DC6" w:rsidP="002E198A">
      <w:pPr>
        <w:pStyle w:val="BodyText"/>
        <w:spacing w:before="120" w:after="120" w:line="360" w:lineRule="exact"/>
        <w:ind w:firstLine="720"/>
        <w:jc w:val="both"/>
        <w:rPr>
          <w:sz w:val="28"/>
          <w:szCs w:val="28"/>
        </w:rPr>
      </w:pPr>
      <w:r w:rsidRPr="002E198A">
        <w:rPr>
          <w:sz w:val="28"/>
          <w:szCs w:val="28"/>
        </w:rPr>
        <w:t xml:space="preserve">Để phục vụ cho việc xây dựng dự thảo Thông tư, </w:t>
      </w:r>
      <w:r w:rsidR="006E18AB" w:rsidRPr="002E198A">
        <w:rPr>
          <w:sz w:val="28"/>
          <w:szCs w:val="28"/>
        </w:rPr>
        <w:t>Vụ Pháp luật quốc tế</w:t>
      </w:r>
      <w:r w:rsidRPr="002E198A">
        <w:rPr>
          <w:sz w:val="28"/>
          <w:szCs w:val="28"/>
        </w:rPr>
        <w:t xml:space="preserve"> đã thực hiện những hoạt động sau đây:</w:t>
      </w:r>
    </w:p>
    <w:p w14:paraId="3EC54BD8" w14:textId="2982EEF7" w:rsidR="00A57DEE" w:rsidRPr="002E198A" w:rsidRDefault="002A5DC6" w:rsidP="002E198A">
      <w:pPr>
        <w:pStyle w:val="BodyText"/>
        <w:numPr>
          <w:ilvl w:val="0"/>
          <w:numId w:val="3"/>
        </w:numPr>
        <w:tabs>
          <w:tab w:val="left" w:pos="982"/>
        </w:tabs>
        <w:spacing w:before="120" w:after="120" w:line="360" w:lineRule="exact"/>
        <w:ind w:firstLine="720"/>
        <w:jc w:val="both"/>
        <w:rPr>
          <w:sz w:val="28"/>
          <w:szCs w:val="28"/>
        </w:rPr>
      </w:pPr>
      <w:bookmarkStart w:id="35" w:name="bookmark33"/>
      <w:bookmarkEnd w:id="35"/>
      <w:r w:rsidRPr="002E198A">
        <w:rPr>
          <w:sz w:val="28"/>
          <w:szCs w:val="28"/>
        </w:rPr>
        <w:t xml:space="preserve">Ngày </w:t>
      </w:r>
      <w:r w:rsidR="00AD7D9D" w:rsidRPr="002E198A">
        <w:rPr>
          <w:sz w:val="28"/>
          <w:szCs w:val="28"/>
        </w:rPr>
        <w:t>…..</w:t>
      </w:r>
      <w:r w:rsidRPr="002E198A">
        <w:rPr>
          <w:sz w:val="28"/>
          <w:szCs w:val="28"/>
        </w:rPr>
        <w:t>/</w:t>
      </w:r>
      <w:r w:rsidR="00AD7D9D" w:rsidRPr="002E198A">
        <w:rPr>
          <w:sz w:val="28"/>
          <w:szCs w:val="28"/>
        </w:rPr>
        <w:t>….</w:t>
      </w:r>
      <w:r w:rsidRPr="002E198A">
        <w:rPr>
          <w:sz w:val="28"/>
          <w:szCs w:val="28"/>
        </w:rPr>
        <w:t xml:space="preserve">/2025, </w:t>
      </w:r>
      <w:r w:rsidR="00AD7D9D" w:rsidRPr="002E198A">
        <w:rPr>
          <w:sz w:val="28"/>
          <w:szCs w:val="28"/>
        </w:rPr>
        <w:t>Vụ Pháp luật quốc tế</w:t>
      </w:r>
      <w:r w:rsidRPr="002E198A">
        <w:rPr>
          <w:sz w:val="28"/>
          <w:szCs w:val="28"/>
        </w:rPr>
        <w:t xml:space="preserve"> đã báo cáo Bộ trưởng Bộ Tư pháp </w:t>
      </w:r>
      <w:r w:rsidR="00AD7D9D" w:rsidRPr="002E198A">
        <w:rPr>
          <w:sz w:val="28"/>
          <w:szCs w:val="28"/>
        </w:rPr>
        <w:t>xin chủ trương sửa đổi</w:t>
      </w:r>
      <w:r w:rsidR="00A34A1D" w:rsidRPr="002E198A">
        <w:rPr>
          <w:sz w:val="28"/>
          <w:szCs w:val="28"/>
          <w:lang w:val="en-US"/>
        </w:rPr>
        <w:t>, bổ sung</w:t>
      </w:r>
      <w:r w:rsidR="00F3300C" w:rsidRPr="002E198A">
        <w:rPr>
          <w:sz w:val="28"/>
          <w:szCs w:val="28"/>
        </w:rPr>
        <w:t xml:space="preserve"> </w:t>
      </w:r>
      <w:r w:rsidR="00AD7D9D" w:rsidRPr="002E198A">
        <w:rPr>
          <w:sz w:val="28"/>
          <w:szCs w:val="28"/>
        </w:rPr>
        <w:t>Thông tư liên tịch số 12</w:t>
      </w:r>
      <w:r w:rsidRPr="002E198A">
        <w:rPr>
          <w:sz w:val="28"/>
          <w:szCs w:val="28"/>
        </w:rPr>
        <w:t>;</w:t>
      </w:r>
    </w:p>
    <w:p w14:paraId="7C2F7EC8" w14:textId="2E1665E9" w:rsidR="00BD4139" w:rsidRPr="002E198A" w:rsidRDefault="00BD4139" w:rsidP="002E198A">
      <w:pPr>
        <w:pStyle w:val="BodyText"/>
        <w:numPr>
          <w:ilvl w:val="0"/>
          <w:numId w:val="3"/>
        </w:numPr>
        <w:tabs>
          <w:tab w:val="left" w:pos="982"/>
        </w:tabs>
        <w:spacing w:before="120" w:after="120" w:line="360" w:lineRule="exact"/>
        <w:ind w:firstLine="720"/>
        <w:jc w:val="both"/>
        <w:rPr>
          <w:sz w:val="28"/>
          <w:szCs w:val="28"/>
        </w:rPr>
      </w:pPr>
      <w:r w:rsidRPr="002E198A">
        <w:rPr>
          <w:sz w:val="28"/>
          <w:szCs w:val="28"/>
          <w:lang w:val="en-US"/>
        </w:rPr>
        <w:t xml:space="preserve">Ngày…../…../2025, Vụ Pháp luật quốc tế đã trao đổi </w:t>
      </w:r>
      <w:r w:rsidR="00872673" w:rsidRPr="002E198A">
        <w:rPr>
          <w:sz w:val="28"/>
          <w:szCs w:val="28"/>
        </w:rPr>
        <w:t xml:space="preserve">với các đơn </w:t>
      </w:r>
      <w:r w:rsidR="00872673" w:rsidRPr="002E198A">
        <w:rPr>
          <w:bCs/>
          <w:sz w:val="28"/>
          <w:szCs w:val="28"/>
        </w:rPr>
        <w:t>vị đầu mối phụ trách của Bộ Ngoại giao, Tòa án nhân dân tối cao</w:t>
      </w:r>
      <w:r w:rsidR="00872673" w:rsidRPr="002E198A">
        <w:rPr>
          <w:bCs/>
          <w:sz w:val="28"/>
          <w:szCs w:val="28"/>
          <w:lang w:val="en-US"/>
        </w:rPr>
        <w:t xml:space="preserve">. Các đơn vị này đều thống nhất </w:t>
      </w:r>
      <w:r w:rsidR="00872673" w:rsidRPr="002E198A">
        <w:rPr>
          <w:bCs/>
          <w:sz w:val="28"/>
          <w:szCs w:val="28"/>
        </w:rPr>
        <w:t>về sự cần thiết sửa đổi</w:t>
      </w:r>
      <w:r w:rsidR="00A34A1D" w:rsidRPr="002E198A">
        <w:rPr>
          <w:bCs/>
          <w:sz w:val="28"/>
          <w:szCs w:val="28"/>
          <w:lang w:val="en-US"/>
        </w:rPr>
        <w:t>, bổ sung</w:t>
      </w:r>
      <w:r w:rsidR="00872673" w:rsidRPr="002E198A">
        <w:rPr>
          <w:bCs/>
          <w:sz w:val="28"/>
          <w:szCs w:val="28"/>
          <w:lang w:val="en-US"/>
        </w:rPr>
        <w:t xml:space="preserve"> </w:t>
      </w:r>
      <w:r w:rsidR="00872673" w:rsidRPr="002E198A">
        <w:rPr>
          <w:bCs/>
          <w:sz w:val="28"/>
          <w:szCs w:val="28"/>
        </w:rPr>
        <w:t>Thông tư liên tịch 12</w:t>
      </w:r>
      <w:r w:rsidR="00872673" w:rsidRPr="002E198A">
        <w:rPr>
          <w:sz w:val="28"/>
          <w:szCs w:val="28"/>
          <w:lang w:val="en-US"/>
        </w:rPr>
        <w:t xml:space="preserve">. </w:t>
      </w:r>
    </w:p>
    <w:p w14:paraId="6C776A8F" w14:textId="6A4C0669" w:rsidR="00023655" w:rsidRPr="002E198A" w:rsidRDefault="00023655" w:rsidP="002E198A">
      <w:pPr>
        <w:pStyle w:val="BodyText"/>
        <w:numPr>
          <w:ilvl w:val="0"/>
          <w:numId w:val="3"/>
        </w:numPr>
        <w:tabs>
          <w:tab w:val="left" w:pos="982"/>
        </w:tabs>
        <w:spacing w:before="120" w:after="120" w:line="360" w:lineRule="exact"/>
        <w:ind w:firstLine="720"/>
        <w:jc w:val="both"/>
        <w:rPr>
          <w:sz w:val="28"/>
          <w:szCs w:val="28"/>
        </w:rPr>
      </w:pPr>
      <w:r w:rsidRPr="002E198A">
        <w:rPr>
          <w:sz w:val="28"/>
          <w:szCs w:val="28"/>
        </w:rPr>
        <w:t xml:space="preserve">Tiến hành rà soát các quy định của Thông tư liên tịch số 12 với các quy </w:t>
      </w:r>
      <w:r w:rsidRPr="002E198A">
        <w:rPr>
          <w:sz w:val="28"/>
          <w:szCs w:val="28"/>
        </w:rPr>
        <w:lastRenderedPageBreak/>
        <w:t xml:space="preserve">định có liên quan để phát hiện những nội dung chưa thống nhất giữa quy định của Thông tư với quy định pháp luật khác. </w:t>
      </w:r>
    </w:p>
    <w:p w14:paraId="5A1E3EF2" w14:textId="1FD95EA9" w:rsidR="00A57DEE" w:rsidRPr="002E198A" w:rsidRDefault="002A5DC6" w:rsidP="002E198A">
      <w:pPr>
        <w:pStyle w:val="BodyText"/>
        <w:numPr>
          <w:ilvl w:val="0"/>
          <w:numId w:val="3"/>
        </w:numPr>
        <w:tabs>
          <w:tab w:val="left" w:pos="973"/>
        </w:tabs>
        <w:spacing w:before="120" w:after="120" w:line="360" w:lineRule="exact"/>
        <w:ind w:firstLine="720"/>
        <w:jc w:val="both"/>
        <w:rPr>
          <w:sz w:val="28"/>
          <w:szCs w:val="28"/>
        </w:rPr>
      </w:pPr>
      <w:bookmarkStart w:id="36" w:name="bookmark34"/>
      <w:bookmarkStart w:id="37" w:name="bookmark35"/>
      <w:bookmarkStart w:id="38" w:name="bookmark36"/>
      <w:bookmarkEnd w:id="36"/>
      <w:bookmarkEnd w:id="37"/>
      <w:bookmarkEnd w:id="38"/>
      <w:r w:rsidRPr="002E198A">
        <w:rPr>
          <w:sz w:val="28"/>
          <w:szCs w:val="28"/>
        </w:rPr>
        <w:t>Xây dựng dự thảo Thông tư</w:t>
      </w:r>
      <w:r w:rsidR="00023655" w:rsidRPr="002E198A">
        <w:rPr>
          <w:sz w:val="28"/>
          <w:szCs w:val="28"/>
        </w:rPr>
        <w:t xml:space="preserve">; </w:t>
      </w:r>
      <w:r w:rsidRPr="002E198A">
        <w:rPr>
          <w:sz w:val="28"/>
          <w:szCs w:val="28"/>
        </w:rPr>
        <w:t>lấy ý kiến của các cơ quan, tổ chức có liên quan, tiếp thu, chỉnh lý dự thảo Thông tư.</w:t>
      </w:r>
    </w:p>
    <w:p w14:paraId="23F6D9D4" w14:textId="6778EA1F" w:rsidR="008A798C" w:rsidRPr="002E198A" w:rsidRDefault="008A798C" w:rsidP="002E198A">
      <w:pPr>
        <w:pStyle w:val="BodyText"/>
        <w:numPr>
          <w:ilvl w:val="0"/>
          <w:numId w:val="3"/>
        </w:numPr>
        <w:tabs>
          <w:tab w:val="left" w:pos="973"/>
        </w:tabs>
        <w:spacing w:before="120" w:after="120" w:line="360" w:lineRule="exact"/>
        <w:ind w:firstLine="720"/>
        <w:jc w:val="both"/>
        <w:rPr>
          <w:sz w:val="28"/>
          <w:szCs w:val="28"/>
        </w:rPr>
      </w:pPr>
      <w:r w:rsidRPr="002E198A">
        <w:rPr>
          <w:sz w:val="28"/>
          <w:szCs w:val="28"/>
          <w:lang w:val="en-US"/>
        </w:rPr>
        <w:t>Ngày …../…../2025, Bộ Tư pháp đã thẩm định dự thảo Thông tư.</w:t>
      </w:r>
    </w:p>
    <w:p w14:paraId="1FC25E8B" w14:textId="50BB51C5" w:rsidR="00A57DEE" w:rsidRPr="002E198A" w:rsidRDefault="008A798C" w:rsidP="002E198A">
      <w:pPr>
        <w:pStyle w:val="BodyText"/>
        <w:tabs>
          <w:tab w:val="left" w:leader="dot" w:pos="1733"/>
          <w:tab w:val="left" w:leader="dot" w:pos="2794"/>
        </w:tabs>
        <w:spacing w:before="120" w:after="120" w:line="360" w:lineRule="exact"/>
        <w:ind w:firstLine="720"/>
        <w:jc w:val="both"/>
        <w:rPr>
          <w:sz w:val="28"/>
          <w:szCs w:val="28"/>
        </w:rPr>
      </w:pPr>
      <w:r w:rsidRPr="002E198A">
        <w:rPr>
          <w:sz w:val="28"/>
          <w:szCs w:val="28"/>
          <w:lang w:val="en-US"/>
        </w:rPr>
        <w:t>T</w:t>
      </w:r>
      <w:r w:rsidR="002A5DC6" w:rsidRPr="002E198A">
        <w:rPr>
          <w:sz w:val="28"/>
          <w:szCs w:val="28"/>
        </w:rPr>
        <w:t xml:space="preserve">rên cơ sở </w:t>
      </w:r>
      <w:r w:rsidRPr="002E198A">
        <w:rPr>
          <w:sz w:val="28"/>
          <w:szCs w:val="28"/>
          <w:lang w:val="en-US"/>
        </w:rPr>
        <w:t>kết luận của Hội đồng thẩm định</w:t>
      </w:r>
      <w:r w:rsidR="002A5DC6" w:rsidRPr="002E198A">
        <w:rPr>
          <w:sz w:val="28"/>
          <w:szCs w:val="28"/>
        </w:rPr>
        <w:t xml:space="preserve">, </w:t>
      </w:r>
      <w:r w:rsidR="00023655" w:rsidRPr="002E198A">
        <w:rPr>
          <w:sz w:val="28"/>
          <w:szCs w:val="28"/>
        </w:rPr>
        <w:t>Vụ Pháp luật quốc tế</w:t>
      </w:r>
      <w:r w:rsidR="002A5DC6" w:rsidRPr="002E198A">
        <w:rPr>
          <w:sz w:val="28"/>
          <w:szCs w:val="28"/>
        </w:rPr>
        <w:t xml:space="preserve"> đã hoàn thiện dự thảo Thông tư và các tài liệu kèm theo để trình Bộ trưởng</w:t>
      </w:r>
      <w:r w:rsidR="00023655" w:rsidRPr="002E198A">
        <w:rPr>
          <w:sz w:val="28"/>
          <w:szCs w:val="28"/>
        </w:rPr>
        <w:t xml:space="preserve"> Bộ Tư pháp, Bộ trưởng Bộ Ngoại giao </w:t>
      </w:r>
      <w:r w:rsidR="00F36A99" w:rsidRPr="002E198A">
        <w:rPr>
          <w:sz w:val="28"/>
          <w:szCs w:val="28"/>
        </w:rPr>
        <w:t xml:space="preserve"> và Chánh án Tòa án nhân dân tối cao ký ban h</w:t>
      </w:r>
      <w:r w:rsidR="00747912" w:rsidRPr="002E198A">
        <w:rPr>
          <w:sz w:val="28"/>
          <w:szCs w:val="28"/>
        </w:rPr>
        <w:t>ành.</w:t>
      </w:r>
    </w:p>
    <w:p w14:paraId="7EB1C199" w14:textId="0B18FEDC" w:rsidR="00A57DEE" w:rsidRPr="002E198A" w:rsidRDefault="002A5DC6" w:rsidP="002E198A">
      <w:pPr>
        <w:pStyle w:val="BodyText"/>
        <w:numPr>
          <w:ilvl w:val="0"/>
          <w:numId w:val="5"/>
        </w:numPr>
        <w:tabs>
          <w:tab w:val="left" w:pos="1270"/>
        </w:tabs>
        <w:spacing w:before="120" w:after="120" w:line="360" w:lineRule="exact"/>
        <w:ind w:firstLine="720"/>
        <w:jc w:val="both"/>
        <w:rPr>
          <w:sz w:val="28"/>
          <w:szCs w:val="28"/>
        </w:rPr>
      </w:pPr>
      <w:bookmarkStart w:id="39" w:name="bookmark37"/>
      <w:bookmarkEnd w:id="39"/>
      <w:r w:rsidRPr="002E198A">
        <w:rPr>
          <w:b/>
          <w:bCs/>
          <w:sz w:val="28"/>
          <w:szCs w:val="28"/>
        </w:rPr>
        <w:t xml:space="preserve">BỐ CỤC VÀ NỘI DUNG CƠ BẢN CỦA </w:t>
      </w:r>
      <w:r w:rsidR="00C20FE9" w:rsidRPr="002E198A">
        <w:rPr>
          <w:b/>
          <w:bCs/>
          <w:sz w:val="28"/>
          <w:szCs w:val="28"/>
        </w:rPr>
        <w:t>D</w:t>
      </w:r>
      <w:r w:rsidR="00C20FE9" w:rsidRPr="002E198A">
        <w:rPr>
          <w:b/>
          <w:bCs/>
          <w:sz w:val="28"/>
          <w:szCs w:val="28"/>
          <w:lang w:val="en-US"/>
        </w:rPr>
        <w:t>Ự</w:t>
      </w:r>
      <w:r w:rsidR="008A798C" w:rsidRPr="002E198A">
        <w:rPr>
          <w:b/>
          <w:bCs/>
          <w:sz w:val="28"/>
          <w:szCs w:val="28"/>
          <w:lang w:val="en-US"/>
        </w:rPr>
        <w:t xml:space="preserve"> </w:t>
      </w:r>
      <w:r w:rsidRPr="002E198A">
        <w:rPr>
          <w:b/>
          <w:bCs/>
          <w:sz w:val="28"/>
          <w:szCs w:val="28"/>
        </w:rPr>
        <w:t>THẢO THÔNG TƯ</w:t>
      </w:r>
    </w:p>
    <w:p w14:paraId="31937654" w14:textId="77777777" w:rsidR="00A57DEE" w:rsidRPr="002E198A" w:rsidRDefault="002A5DC6" w:rsidP="002E198A">
      <w:pPr>
        <w:pStyle w:val="Heading20"/>
        <w:keepNext/>
        <w:keepLines/>
        <w:numPr>
          <w:ilvl w:val="0"/>
          <w:numId w:val="6"/>
        </w:numPr>
        <w:tabs>
          <w:tab w:val="left" w:pos="1038"/>
        </w:tabs>
        <w:spacing w:before="120" w:after="120" w:line="360" w:lineRule="exact"/>
        <w:ind w:firstLine="720"/>
        <w:jc w:val="both"/>
        <w:rPr>
          <w:sz w:val="28"/>
          <w:szCs w:val="28"/>
        </w:rPr>
      </w:pPr>
      <w:bookmarkStart w:id="40" w:name="bookmark38"/>
      <w:bookmarkStart w:id="41" w:name="bookmark39"/>
      <w:bookmarkStart w:id="42" w:name="bookmark40"/>
      <w:bookmarkStart w:id="43" w:name="bookmark43"/>
      <w:bookmarkStart w:id="44" w:name="bookmark41"/>
      <w:bookmarkStart w:id="45" w:name="bookmark42"/>
      <w:bookmarkStart w:id="46" w:name="bookmark44"/>
      <w:bookmarkEnd w:id="40"/>
      <w:bookmarkEnd w:id="41"/>
      <w:bookmarkEnd w:id="42"/>
      <w:bookmarkEnd w:id="43"/>
      <w:r w:rsidRPr="002E198A">
        <w:rPr>
          <w:sz w:val="28"/>
          <w:szCs w:val="28"/>
        </w:rPr>
        <w:t>Bố cục của dự thảo Thông tư</w:t>
      </w:r>
      <w:bookmarkEnd w:id="44"/>
      <w:bookmarkEnd w:id="45"/>
      <w:bookmarkEnd w:id="46"/>
    </w:p>
    <w:p w14:paraId="012F401F" w14:textId="048709D6" w:rsidR="00A57DEE" w:rsidRPr="002E198A" w:rsidRDefault="002A5DC6" w:rsidP="002E198A">
      <w:pPr>
        <w:pStyle w:val="BodyText"/>
        <w:spacing w:before="120" w:after="120" w:line="360" w:lineRule="exact"/>
        <w:ind w:firstLine="720"/>
        <w:jc w:val="both"/>
        <w:rPr>
          <w:sz w:val="28"/>
          <w:szCs w:val="28"/>
        </w:rPr>
      </w:pPr>
      <w:r w:rsidRPr="002E198A">
        <w:rPr>
          <w:sz w:val="28"/>
          <w:szCs w:val="28"/>
        </w:rPr>
        <w:t xml:space="preserve">Dự thảo Thông tư gồm </w:t>
      </w:r>
      <w:r w:rsidR="000D316D" w:rsidRPr="002E198A">
        <w:rPr>
          <w:sz w:val="28"/>
          <w:szCs w:val="28"/>
        </w:rPr>
        <w:t>0</w:t>
      </w:r>
      <w:r w:rsidR="000D316D" w:rsidRPr="002E198A">
        <w:rPr>
          <w:sz w:val="28"/>
          <w:szCs w:val="28"/>
          <w:lang w:val="en-US"/>
        </w:rPr>
        <w:t>3</w:t>
      </w:r>
      <w:r w:rsidR="000D316D" w:rsidRPr="002E198A">
        <w:rPr>
          <w:sz w:val="28"/>
          <w:szCs w:val="28"/>
        </w:rPr>
        <w:t xml:space="preserve"> </w:t>
      </w:r>
      <w:r w:rsidRPr="002E198A">
        <w:rPr>
          <w:sz w:val="28"/>
          <w:szCs w:val="28"/>
        </w:rPr>
        <w:t>điều, cụ thể như sau:</w:t>
      </w:r>
    </w:p>
    <w:p w14:paraId="0CBBA34E" w14:textId="4B910B31" w:rsidR="00A57DEE" w:rsidRPr="002E198A" w:rsidRDefault="002A5DC6" w:rsidP="002E198A">
      <w:pPr>
        <w:pStyle w:val="BodyText"/>
        <w:numPr>
          <w:ilvl w:val="0"/>
          <w:numId w:val="3"/>
        </w:numPr>
        <w:tabs>
          <w:tab w:val="left" w:pos="918"/>
        </w:tabs>
        <w:spacing w:before="120" w:after="120" w:line="360" w:lineRule="exact"/>
        <w:ind w:firstLine="720"/>
        <w:jc w:val="both"/>
        <w:rPr>
          <w:sz w:val="28"/>
          <w:szCs w:val="28"/>
        </w:rPr>
      </w:pPr>
      <w:bookmarkStart w:id="47" w:name="bookmark45"/>
      <w:bookmarkEnd w:id="47"/>
      <w:r w:rsidRPr="002E198A">
        <w:rPr>
          <w:b/>
          <w:bCs/>
          <w:sz w:val="28"/>
          <w:szCs w:val="28"/>
        </w:rPr>
        <w:t>Điều 1</w:t>
      </w:r>
      <w:r w:rsidRPr="002E198A">
        <w:rPr>
          <w:sz w:val="28"/>
          <w:szCs w:val="28"/>
        </w:rPr>
        <w:t>: Sửa đổi</w:t>
      </w:r>
      <w:r w:rsidR="00A34A1D" w:rsidRPr="002E198A">
        <w:rPr>
          <w:sz w:val="28"/>
          <w:szCs w:val="28"/>
          <w:lang w:val="en-US"/>
        </w:rPr>
        <w:t>, bổ sung</w:t>
      </w:r>
      <w:r w:rsidR="00F3300C" w:rsidRPr="002E198A">
        <w:rPr>
          <w:sz w:val="28"/>
          <w:szCs w:val="28"/>
        </w:rPr>
        <w:t xml:space="preserve"> </w:t>
      </w:r>
      <w:r w:rsidR="00C20FE9" w:rsidRPr="002E198A">
        <w:rPr>
          <w:sz w:val="28"/>
          <w:szCs w:val="28"/>
          <w:lang w:val="en-US"/>
        </w:rPr>
        <w:t>Đ</w:t>
      </w:r>
      <w:r w:rsidR="00C20FE9" w:rsidRPr="002E198A">
        <w:rPr>
          <w:sz w:val="28"/>
          <w:szCs w:val="28"/>
        </w:rPr>
        <w:t xml:space="preserve">iều </w:t>
      </w:r>
      <w:r w:rsidR="005D71A3" w:rsidRPr="002E198A">
        <w:rPr>
          <w:sz w:val="28"/>
          <w:szCs w:val="28"/>
        </w:rPr>
        <w:t>10</w:t>
      </w:r>
      <w:r w:rsidR="00C20FE9" w:rsidRPr="002E198A">
        <w:rPr>
          <w:sz w:val="28"/>
          <w:szCs w:val="28"/>
          <w:lang w:val="en-US"/>
        </w:rPr>
        <w:t>, khoản 1 Điều 17</w:t>
      </w:r>
      <w:r w:rsidR="005D71A3" w:rsidRPr="002E198A">
        <w:rPr>
          <w:sz w:val="28"/>
          <w:szCs w:val="28"/>
        </w:rPr>
        <w:t xml:space="preserve"> </w:t>
      </w:r>
      <w:r w:rsidRPr="002E198A">
        <w:rPr>
          <w:sz w:val="28"/>
          <w:szCs w:val="28"/>
        </w:rPr>
        <w:t xml:space="preserve">của Thông tư </w:t>
      </w:r>
      <w:r w:rsidR="005D71A3" w:rsidRPr="002E198A">
        <w:rPr>
          <w:sz w:val="28"/>
          <w:szCs w:val="28"/>
        </w:rPr>
        <w:t>liên tịch số 12</w:t>
      </w:r>
      <w:r w:rsidRPr="002E198A">
        <w:rPr>
          <w:sz w:val="28"/>
          <w:szCs w:val="28"/>
        </w:rPr>
        <w:t>.</w:t>
      </w:r>
    </w:p>
    <w:p w14:paraId="584020C7" w14:textId="53CDDBD6" w:rsidR="005D71A3" w:rsidRPr="002E198A" w:rsidRDefault="005D71A3" w:rsidP="002E198A">
      <w:pPr>
        <w:pStyle w:val="BodyText"/>
        <w:numPr>
          <w:ilvl w:val="0"/>
          <w:numId w:val="3"/>
        </w:numPr>
        <w:tabs>
          <w:tab w:val="left" w:pos="913"/>
        </w:tabs>
        <w:spacing w:before="120" w:after="120" w:line="360" w:lineRule="exact"/>
        <w:ind w:firstLine="720"/>
        <w:jc w:val="both"/>
        <w:rPr>
          <w:sz w:val="28"/>
          <w:szCs w:val="28"/>
        </w:rPr>
      </w:pPr>
      <w:bookmarkStart w:id="48" w:name="bookmark46"/>
      <w:bookmarkEnd w:id="48"/>
      <w:r w:rsidRPr="002E198A">
        <w:rPr>
          <w:b/>
          <w:bCs/>
          <w:sz w:val="28"/>
          <w:szCs w:val="28"/>
        </w:rPr>
        <w:t>Điều 2</w:t>
      </w:r>
      <w:r w:rsidRPr="002E198A">
        <w:rPr>
          <w:sz w:val="28"/>
          <w:szCs w:val="28"/>
        </w:rPr>
        <w:t>: Sửa đổi</w:t>
      </w:r>
      <w:r w:rsidR="00A34A1D" w:rsidRPr="002E198A">
        <w:rPr>
          <w:sz w:val="28"/>
          <w:szCs w:val="28"/>
          <w:lang w:val="en-US"/>
        </w:rPr>
        <w:t>, bổ sung</w:t>
      </w:r>
      <w:r w:rsidR="00F3300C" w:rsidRPr="002E198A">
        <w:rPr>
          <w:sz w:val="28"/>
          <w:szCs w:val="28"/>
        </w:rPr>
        <w:t xml:space="preserve"> </w:t>
      </w:r>
      <w:r w:rsidRPr="002E198A">
        <w:rPr>
          <w:sz w:val="28"/>
          <w:szCs w:val="28"/>
        </w:rPr>
        <w:t>các biểu mẫ</w:t>
      </w:r>
      <w:r w:rsidR="00DE17E7" w:rsidRPr="002E198A">
        <w:rPr>
          <w:sz w:val="28"/>
          <w:szCs w:val="28"/>
        </w:rPr>
        <w:t xml:space="preserve">u ban hành kèm theo Thông tư </w:t>
      </w:r>
      <w:r w:rsidR="000D316D" w:rsidRPr="002E198A">
        <w:rPr>
          <w:sz w:val="28"/>
          <w:szCs w:val="28"/>
          <w:lang w:val="en-US"/>
        </w:rPr>
        <w:t xml:space="preserve">liên tịch </w:t>
      </w:r>
      <w:r w:rsidR="00DE17E7" w:rsidRPr="002E198A">
        <w:rPr>
          <w:sz w:val="28"/>
          <w:szCs w:val="28"/>
        </w:rPr>
        <w:t>tạ</w:t>
      </w:r>
      <w:r w:rsidR="00DE17E7" w:rsidRPr="002E198A">
        <w:rPr>
          <w:sz w:val="28"/>
          <w:szCs w:val="28"/>
          <w:lang w:val="en-US"/>
        </w:rPr>
        <w:t>i</w:t>
      </w:r>
      <w:r w:rsidRPr="002E198A">
        <w:rPr>
          <w:sz w:val="28"/>
          <w:szCs w:val="28"/>
        </w:rPr>
        <w:t xml:space="preserve"> Điều 11</w:t>
      </w:r>
      <w:r w:rsidR="00DE17E7" w:rsidRPr="002E198A">
        <w:rPr>
          <w:sz w:val="28"/>
          <w:szCs w:val="28"/>
          <w:lang w:val="en-US"/>
        </w:rPr>
        <w:t xml:space="preserve"> của Thông tư liên tịch số 12</w:t>
      </w:r>
      <w:r w:rsidRPr="002E198A">
        <w:rPr>
          <w:sz w:val="28"/>
          <w:szCs w:val="28"/>
        </w:rPr>
        <w:t xml:space="preserve">. </w:t>
      </w:r>
    </w:p>
    <w:p w14:paraId="37B34808" w14:textId="6F8E8871" w:rsidR="00A57DEE" w:rsidRPr="002E198A" w:rsidRDefault="002A5DC6" w:rsidP="002E198A">
      <w:pPr>
        <w:pStyle w:val="BodyText"/>
        <w:numPr>
          <w:ilvl w:val="0"/>
          <w:numId w:val="3"/>
        </w:numPr>
        <w:tabs>
          <w:tab w:val="left" w:pos="928"/>
        </w:tabs>
        <w:spacing w:before="120" w:after="120" w:line="360" w:lineRule="exact"/>
        <w:ind w:firstLine="720"/>
        <w:jc w:val="both"/>
        <w:rPr>
          <w:sz w:val="28"/>
          <w:szCs w:val="28"/>
        </w:rPr>
      </w:pPr>
      <w:bookmarkStart w:id="49" w:name="bookmark47"/>
      <w:bookmarkEnd w:id="49"/>
      <w:r w:rsidRPr="002E198A">
        <w:rPr>
          <w:b/>
          <w:bCs/>
          <w:sz w:val="28"/>
          <w:szCs w:val="28"/>
        </w:rPr>
        <w:t xml:space="preserve">Điều </w:t>
      </w:r>
      <w:r w:rsidR="000D316D" w:rsidRPr="002E198A">
        <w:rPr>
          <w:b/>
          <w:bCs/>
          <w:sz w:val="28"/>
          <w:szCs w:val="28"/>
          <w:lang w:val="en-US"/>
        </w:rPr>
        <w:t>3</w:t>
      </w:r>
      <w:r w:rsidR="00E35921" w:rsidRPr="002E198A">
        <w:rPr>
          <w:sz w:val="28"/>
          <w:szCs w:val="28"/>
          <w:lang w:val="en-US"/>
        </w:rPr>
        <w:t>:</w:t>
      </w:r>
      <w:r w:rsidRPr="002E198A">
        <w:rPr>
          <w:b/>
          <w:bCs/>
          <w:sz w:val="28"/>
          <w:szCs w:val="28"/>
        </w:rPr>
        <w:t xml:space="preserve"> </w:t>
      </w:r>
      <w:r w:rsidR="002E198A" w:rsidRPr="002E198A">
        <w:rPr>
          <w:sz w:val="28"/>
          <w:szCs w:val="28"/>
          <w:lang w:val="en-US"/>
        </w:rPr>
        <w:t>Q</w:t>
      </w:r>
      <w:r w:rsidRPr="002E198A">
        <w:rPr>
          <w:sz w:val="28"/>
          <w:szCs w:val="28"/>
        </w:rPr>
        <w:t xml:space="preserve">uy định về </w:t>
      </w:r>
      <w:r w:rsidR="000D316D" w:rsidRPr="002E198A">
        <w:rPr>
          <w:sz w:val="28"/>
          <w:szCs w:val="28"/>
          <w:lang w:val="en-US"/>
        </w:rPr>
        <w:t xml:space="preserve">điều khoản chuyển tiếp và </w:t>
      </w:r>
      <w:r w:rsidR="00487B64" w:rsidRPr="002E198A">
        <w:rPr>
          <w:sz w:val="28"/>
          <w:szCs w:val="28"/>
        </w:rPr>
        <w:t>hiệu lực</w:t>
      </w:r>
      <w:r w:rsidRPr="002E198A">
        <w:rPr>
          <w:sz w:val="28"/>
          <w:szCs w:val="28"/>
        </w:rPr>
        <w:t xml:space="preserve"> thi hành.</w:t>
      </w:r>
    </w:p>
    <w:p w14:paraId="73DF2947" w14:textId="77777777" w:rsidR="00A57DEE" w:rsidRPr="002E198A" w:rsidRDefault="002A5DC6" w:rsidP="002E198A">
      <w:pPr>
        <w:pStyle w:val="BodyText"/>
        <w:numPr>
          <w:ilvl w:val="0"/>
          <w:numId w:val="6"/>
        </w:numPr>
        <w:tabs>
          <w:tab w:val="left" w:pos="1038"/>
        </w:tabs>
        <w:spacing w:before="120" w:after="120" w:line="360" w:lineRule="exact"/>
        <w:ind w:firstLine="720"/>
        <w:jc w:val="both"/>
        <w:rPr>
          <w:sz w:val="28"/>
          <w:szCs w:val="28"/>
        </w:rPr>
      </w:pPr>
      <w:bookmarkStart w:id="50" w:name="bookmark48"/>
      <w:bookmarkEnd w:id="50"/>
      <w:r w:rsidRPr="002E198A">
        <w:rPr>
          <w:b/>
          <w:bCs/>
          <w:sz w:val="28"/>
          <w:szCs w:val="28"/>
        </w:rPr>
        <w:t>Nội dung cơ bản của dự thảo Thông tư</w:t>
      </w:r>
    </w:p>
    <w:p w14:paraId="533F88D8" w14:textId="7C1A81B4" w:rsidR="00A57DEE" w:rsidRPr="002E198A" w:rsidRDefault="002A5DC6" w:rsidP="002E198A">
      <w:pPr>
        <w:pStyle w:val="BodyText"/>
        <w:numPr>
          <w:ilvl w:val="1"/>
          <w:numId w:val="6"/>
        </w:numPr>
        <w:tabs>
          <w:tab w:val="left" w:pos="1221"/>
        </w:tabs>
        <w:spacing w:before="120" w:after="120" w:line="360" w:lineRule="exact"/>
        <w:ind w:firstLine="720"/>
        <w:jc w:val="both"/>
        <w:rPr>
          <w:sz w:val="28"/>
          <w:szCs w:val="28"/>
        </w:rPr>
      </w:pPr>
      <w:bookmarkStart w:id="51" w:name="bookmark49"/>
      <w:bookmarkEnd w:id="51"/>
      <w:r w:rsidRPr="002E198A">
        <w:rPr>
          <w:b/>
          <w:bCs/>
          <w:i/>
          <w:iCs/>
          <w:sz w:val="28"/>
          <w:szCs w:val="28"/>
        </w:rPr>
        <w:t>Sửa đổi</w:t>
      </w:r>
      <w:r w:rsidR="00A34A1D" w:rsidRPr="002E198A">
        <w:rPr>
          <w:b/>
          <w:bCs/>
          <w:i/>
          <w:iCs/>
          <w:sz w:val="28"/>
          <w:szCs w:val="28"/>
          <w:lang w:val="en-US"/>
        </w:rPr>
        <w:t>, bổ sung</w:t>
      </w:r>
      <w:r w:rsidR="00872673" w:rsidRPr="002E198A">
        <w:rPr>
          <w:b/>
          <w:bCs/>
          <w:i/>
          <w:iCs/>
          <w:sz w:val="28"/>
          <w:szCs w:val="28"/>
          <w:lang w:val="en-US"/>
        </w:rPr>
        <w:t xml:space="preserve"> </w:t>
      </w:r>
      <w:r w:rsidRPr="002E198A">
        <w:rPr>
          <w:b/>
          <w:bCs/>
          <w:i/>
          <w:iCs/>
          <w:sz w:val="28"/>
          <w:szCs w:val="28"/>
        </w:rPr>
        <w:t>một số điều, khoản</w:t>
      </w:r>
    </w:p>
    <w:p w14:paraId="4771B0A4" w14:textId="4CF0117C" w:rsidR="00A57DEE" w:rsidRPr="002E198A" w:rsidRDefault="002A5DC6" w:rsidP="002E198A">
      <w:pPr>
        <w:pStyle w:val="BodyText"/>
        <w:spacing w:before="120" w:after="120" w:line="360" w:lineRule="exact"/>
        <w:ind w:firstLine="720"/>
        <w:jc w:val="both"/>
        <w:rPr>
          <w:sz w:val="28"/>
          <w:szCs w:val="28"/>
        </w:rPr>
      </w:pPr>
      <w:r w:rsidRPr="002E198A">
        <w:rPr>
          <w:sz w:val="28"/>
          <w:szCs w:val="28"/>
        </w:rPr>
        <w:t>Sửa đổi</w:t>
      </w:r>
      <w:r w:rsidR="00A34A1D" w:rsidRPr="002E198A">
        <w:rPr>
          <w:sz w:val="28"/>
          <w:szCs w:val="28"/>
          <w:lang w:val="en-US"/>
        </w:rPr>
        <w:t>, bổ sung</w:t>
      </w:r>
      <w:r w:rsidR="00872673" w:rsidRPr="002E198A">
        <w:rPr>
          <w:sz w:val="28"/>
          <w:szCs w:val="28"/>
          <w:lang w:val="en-US"/>
        </w:rPr>
        <w:t xml:space="preserve"> </w:t>
      </w:r>
      <w:r w:rsidRPr="002E198A">
        <w:rPr>
          <w:sz w:val="28"/>
          <w:szCs w:val="28"/>
        </w:rPr>
        <w:t xml:space="preserve">Điều </w:t>
      </w:r>
      <w:r w:rsidR="00523064" w:rsidRPr="002E198A">
        <w:rPr>
          <w:sz w:val="28"/>
          <w:szCs w:val="28"/>
        </w:rPr>
        <w:t>1</w:t>
      </w:r>
      <w:r w:rsidR="00B2267B" w:rsidRPr="002E198A">
        <w:rPr>
          <w:sz w:val="28"/>
          <w:szCs w:val="28"/>
          <w:lang w:val="en-US"/>
        </w:rPr>
        <w:t>0</w:t>
      </w:r>
      <w:r w:rsidR="00523064" w:rsidRPr="002E198A">
        <w:rPr>
          <w:sz w:val="28"/>
          <w:szCs w:val="28"/>
        </w:rPr>
        <w:t xml:space="preserve"> </w:t>
      </w:r>
      <w:r w:rsidR="0062300E" w:rsidRPr="002E198A">
        <w:rPr>
          <w:sz w:val="28"/>
          <w:szCs w:val="28"/>
        </w:rPr>
        <w:t xml:space="preserve">và </w:t>
      </w:r>
      <w:r w:rsidR="00A34A1D" w:rsidRPr="002E198A">
        <w:rPr>
          <w:sz w:val="28"/>
          <w:szCs w:val="28"/>
          <w:lang w:val="en-US"/>
        </w:rPr>
        <w:t xml:space="preserve">khoản 1, </w:t>
      </w:r>
      <w:r w:rsidR="0062300E" w:rsidRPr="002E198A">
        <w:rPr>
          <w:sz w:val="28"/>
          <w:szCs w:val="28"/>
        </w:rPr>
        <w:t xml:space="preserve">Điều 17 </w:t>
      </w:r>
      <w:r w:rsidRPr="002E198A">
        <w:rPr>
          <w:sz w:val="28"/>
          <w:szCs w:val="28"/>
        </w:rPr>
        <w:t xml:space="preserve">của Thông tư </w:t>
      </w:r>
      <w:r w:rsidR="0062300E" w:rsidRPr="002E198A">
        <w:rPr>
          <w:sz w:val="28"/>
          <w:szCs w:val="28"/>
        </w:rPr>
        <w:t xml:space="preserve">liên tịch </w:t>
      </w:r>
      <w:r w:rsidRPr="002E198A">
        <w:rPr>
          <w:sz w:val="28"/>
          <w:szCs w:val="28"/>
        </w:rPr>
        <w:t xml:space="preserve">số </w:t>
      </w:r>
      <w:r w:rsidR="0062300E" w:rsidRPr="002E198A">
        <w:rPr>
          <w:sz w:val="28"/>
          <w:szCs w:val="28"/>
        </w:rPr>
        <w:t>12</w:t>
      </w:r>
      <w:r w:rsidRPr="002E198A">
        <w:rPr>
          <w:sz w:val="28"/>
          <w:szCs w:val="28"/>
        </w:rPr>
        <w:t>. Nội dung sửa đổi</w:t>
      </w:r>
      <w:r w:rsidR="00A34A1D" w:rsidRPr="002E198A">
        <w:rPr>
          <w:sz w:val="28"/>
          <w:szCs w:val="28"/>
          <w:lang w:val="en-US"/>
        </w:rPr>
        <w:t>, bổ sung</w:t>
      </w:r>
      <w:r w:rsidRPr="002E198A">
        <w:rPr>
          <w:sz w:val="28"/>
          <w:szCs w:val="28"/>
        </w:rPr>
        <w:t xml:space="preserve"> chủ yếu</w:t>
      </w:r>
      <w:r w:rsidR="006B38C1" w:rsidRPr="002E198A">
        <w:rPr>
          <w:sz w:val="28"/>
          <w:szCs w:val="28"/>
          <w:lang w:val="en-US"/>
        </w:rPr>
        <w:t xml:space="preserve"> về thẩm quyền thực hiện </w:t>
      </w:r>
      <w:r w:rsidRPr="002E198A">
        <w:rPr>
          <w:sz w:val="28"/>
          <w:szCs w:val="28"/>
        </w:rPr>
        <w:t xml:space="preserve"> </w:t>
      </w:r>
      <w:r w:rsidR="000706B7" w:rsidRPr="002E198A">
        <w:rPr>
          <w:sz w:val="28"/>
          <w:szCs w:val="28"/>
        </w:rPr>
        <w:t>hiện tương trợ tư pháp</w:t>
      </w:r>
      <w:r w:rsidR="006B38C1" w:rsidRPr="002E198A">
        <w:rPr>
          <w:sz w:val="28"/>
          <w:szCs w:val="28"/>
          <w:lang w:val="en-US"/>
        </w:rPr>
        <w:t>:</w:t>
      </w:r>
      <w:r w:rsidRPr="002E198A">
        <w:rPr>
          <w:i/>
          <w:iCs/>
          <w:sz w:val="28"/>
          <w:szCs w:val="28"/>
        </w:rPr>
        <w:t xml:space="preserve">bỏ quy định về </w:t>
      </w:r>
      <w:r w:rsidR="00CB6ACC" w:rsidRPr="002E198A">
        <w:rPr>
          <w:i/>
          <w:iCs/>
          <w:sz w:val="28"/>
          <w:szCs w:val="28"/>
        </w:rPr>
        <w:t xml:space="preserve">thẩm quyền của Tòa án nhân dân cấp cao; Viện kiểm sát nhân dân cấp cao; </w:t>
      </w:r>
      <w:r w:rsidR="00330EB0" w:rsidRPr="002E198A">
        <w:rPr>
          <w:i/>
          <w:iCs/>
          <w:sz w:val="28"/>
          <w:szCs w:val="28"/>
        </w:rPr>
        <w:t>Tòa án nhân dân cấp huyện, Viện kiểm sát nhân dân cấp huyện, Cơ quan thi hành án dân sự cấp huyện</w:t>
      </w:r>
      <w:r w:rsidR="00A3753D" w:rsidRPr="002E198A">
        <w:rPr>
          <w:i/>
          <w:iCs/>
          <w:sz w:val="28"/>
          <w:szCs w:val="28"/>
        </w:rPr>
        <w:t>; bổ sung quy định về Tòa án nhân dân khu vực</w:t>
      </w:r>
      <w:r w:rsidRPr="002E198A">
        <w:rPr>
          <w:i/>
          <w:iCs/>
          <w:sz w:val="28"/>
          <w:szCs w:val="28"/>
        </w:rPr>
        <w:t>)</w:t>
      </w:r>
      <w:r w:rsidRPr="002E198A">
        <w:rPr>
          <w:sz w:val="28"/>
          <w:szCs w:val="28"/>
        </w:rPr>
        <w:t xml:space="preserve">, phù hợp với quy định của </w:t>
      </w:r>
      <w:r w:rsidR="00A3753D" w:rsidRPr="002E198A">
        <w:rPr>
          <w:sz w:val="28"/>
          <w:szCs w:val="28"/>
        </w:rPr>
        <w:t>Luật sửa đổi</w:t>
      </w:r>
      <w:r w:rsidR="006B38C1" w:rsidRPr="002E198A">
        <w:rPr>
          <w:sz w:val="28"/>
          <w:szCs w:val="28"/>
          <w:lang w:val="en-US"/>
        </w:rPr>
        <w:t>, bổ sung</w:t>
      </w:r>
      <w:r w:rsidR="00A3753D" w:rsidRPr="002E198A">
        <w:rPr>
          <w:sz w:val="28"/>
          <w:szCs w:val="28"/>
        </w:rPr>
        <w:t xml:space="preserve"> Luật TCTAND, </w:t>
      </w:r>
      <w:r w:rsidR="006B38C1" w:rsidRPr="002E198A">
        <w:rPr>
          <w:sz w:val="28"/>
          <w:szCs w:val="28"/>
        </w:rPr>
        <w:t>Luật sửa đổi</w:t>
      </w:r>
      <w:r w:rsidR="006B38C1" w:rsidRPr="002E198A">
        <w:rPr>
          <w:sz w:val="28"/>
          <w:szCs w:val="28"/>
          <w:lang w:val="en-US"/>
        </w:rPr>
        <w:t>, bổ sung</w:t>
      </w:r>
      <w:r w:rsidR="006B38C1" w:rsidRPr="002E198A">
        <w:rPr>
          <w:sz w:val="28"/>
          <w:szCs w:val="28"/>
        </w:rPr>
        <w:t xml:space="preserve"> Luật </w:t>
      </w:r>
      <w:r w:rsidR="006B38C1" w:rsidRPr="002E198A">
        <w:rPr>
          <w:sz w:val="28"/>
          <w:szCs w:val="28"/>
          <w:lang w:val="en-US"/>
        </w:rPr>
        <w:t xml:space="preserve">Tổ chức Viện Kiểm sát nhân dân, </w:t>
      </w:r>
      <w:r w:rsidR="006B38C1" w:rsidRPr="002E198A">
        <w:rPr>
          <w:sz w:val="28"/>
          <w:szCs w:val="28"/>
        </w:rPr>
        <w:t xml:space="preserve"> </w:t>
      </w:r>
      <w:r w:rsidR="00C123D0" w:rsidRPr="002E198A">
        <w:rPr>
          <w:sz w:val="28"/>
          <w:szCs w:val="28"/>
        </w:rPr>
        <w:t>Luật sửa đổi</w:t>
      </w:r>
      <w:r w:rsidR="006B38C1" w:rsidRPr="002E198A">
        <w:rPr>
          <w:sz w:val="28"/>
          <w:szCs w:val="28"/>
          <w:lang w:val="en-US"/>
        </w:rPr>
        <w:t>, bổ sung</w:t>
      </w:r>
      <w:r w:rsidR="00C123D0" w:rsidRPr="002E198A">
        <w:rPr>
          <w:sz w:val="28"/>
          <w:szCs w:val="28"/>
        </w:rPr>
        <w:t xml:space="preserve"> 05 luật</w:t>
      </w:r>
      <w:r w:rsidR="0068136F" w:rsidRPr="002E198A">
        <w:rPr>
          <w:sz w:val="28"/>
          <w:szCs w:val="28"/>
        </w:rPr>
        <w:t xml:space="preserve"> và các văn bản pháp luật có liên quan. </w:t>
      </w:r>
    </w:p>
    <w:p w14:paraId="6F926C2D" w14:textId="2F8C608B" w:rsidR="00A57DEE" w:rsidRPr="002E198A" w:rsidRDefault="002A5DC6" w:rsidP="002E198A">
      <w:pPr>
        <w:pStyle w:val="BodyText"/>
        <w:numPr>
          <w:ilvl w:val="1"/>
          <w:numId w:val="6"/>
        </w:numPr>
        <w:tabs>
          <w:tab w:val="left" w:pos="1221"/>
        </w:tabs>
        <w:spacing w:before="120" w:after="120" w:line="360" w:lineRule="exact"/>
        <w:ind w:firstLine="720"/>
        <w:jc w:val="both"/>
        <w:rPr>
          <w:sz w:val="28"/>
          <w:szCs w:val="28"/>
        </w:rPr>
      </w:pPr>
      <w:bookmarkStart w:id="52" w:name="bookmark50"/>
      <w:bookmarkEnd w:id="52"/>
      <w:r w:rsidRPr="002E198A">
        <w:rPr>
          <w:b/>
          <w:bCs/>
          <w:i/>
          <w:iCs/>
          <w:sz w:val="28"/>
          <w:szCs w:val="28"/>
        </w:rPr>
        <w:t>Sửa đổi</w:t>
      </w:r>
      <w:r w:rsidR="00A34A1D" w:rsidRPr="002E198A">
        <w:rPr>
          <w:b/>
          <w:bCs/>
          <w:i/>
          <w:iCs/>
          <w:sz w:val="28"/>
          <w:szCs w:val="28"/>
          <w:lang w:val="en-US"/>
        </w:rPr>
        <w:t>, bổ sung</w:t>
      </w:r>
      <w:r w:rsidR="00791DDE" w:rsidRPr="002E198A">
        <w:rPr>
          <w:b/>
          <w:bCs/>
          <w:i/>
          <w:iCs/>
          <w:sz w:val="28"/>
          <w:szCs w:val="28"/>
        </w:rPr>
        <w:t xml:space="preserve"> </w:t>
      </w:r>
      <w:r w:rsidRPr="002E198A">
        <w:rPr>
          <w:b/>
          <w:bCs/>
          <w:i/>
          <w:iCs/>
          <w:sz w:val="28"/>
          <w:szCs w:val="28"/>
        </w:rPr>
        <w:t xml:space="preserve">các </w:t>
      </w:r>
      <w:r w:rsidR="00A34A1D" w:rsidRPr="002E198A">
        <w:rPr>
          <w:b/>
          <w:bCs/>
          <w:i/>
          <w:iCs/>
          <w:sz w:val="28"/>
          <w:szCs w:val="28"/>
          <w:lang w:val="en-US"/>
        </w:rPr>
        <w:t>biểu mẫu</w:t>
      </w:r>
    </w:p>
    <w:p w14:paraId="29F8984D" w14:textId="759EE648" w:rsidR="00791DDE" w:rsidRPr="002E198A" w:rsidRDefault="000917F7" w:rsidP="002E198A">
      <w:pPr>
        <w:pStyle w:val="BodyText"/>
        <w:numPr>
          <w:ilvl w:val="0"/>
          <w:numId w:val="3"/>
        </w:numPr>
        <w:tabs>
          <w:tab w:val="left" w:pos="923"/>
        </w:tabs>
        <w:spacing w:before="120" w:after="120" w:line="360" w:lineRule="exact"/>
        <w:ind w:firstLine="720"/>
        <w:jc w:val="both"/>
        <w:rPr>
          <w:sz w:val="28"/>
          <w:szCs w:val="28"/>
        </w:rPr>
      </w:pPr>
      <w:bookmarkStart w:id="53" w:name="bookmark51"/>
      <w:bookmarkEnd w:id="53"/>
      <w:r w:rsidRPr="002E198A">
        <w:rPr>
          <w:sz w:val="28"/>
          <w:szCs w:val="28"/>
        </w:rPr>
        <w:t>Đối với Văn bản yêu cầu ủy thá</w:t>
      </w:r>
      <w:r w:rsidR="001B53EF" w:rsidRPr="002E198A">
        <w:rPr>
          <w:sz w:val="28"/>
          <w:szCs w:val="28"/>
        </w:rPr>
        <w:t>c tư pháp về dân sự (mẫu số 01)</w:t>
      </w:r>
      <w:r w:rsidRPr="002E198A">
        <w:rPr>
          <w:sz w:val="28"/>
          <w:szCs w:val="28"/>
        </w:rPr>
        <w:t xml:space="preserve">: (i) </w:t>
      </w:r>
      <w:r w:rsidR="006904CF" w:rsidRPr="002E198A">
        <w:rPr>
          <w:sz w:val="28"/>
          <w:szCs w:val="28"/>
          <w:lang w:val="en-US"/>
        </w:rPr>
        <w:t xml:space="preserve">Sửa </w:t>
      </w:r>
      <w:r w:rsidR="0068136F" w:rsidRPr="002E198A">
        <w:rPr>
          <w:sz w:val="28"/>
          <w:szCs w:val="28"/>
        </w:rPr>
        <w:t xml:space="preserve">trường thông tin </w:t>
      </w:r>
      <w:r w:rsidR="00791DDE" w:rsidRPr="002E198A">
        <w:rPr>
          <w:sz w:val="28"/>
          <w:szCs w:val="28"/>
        </w:rPr>
        <w:t>hướng dẫn tại mục 2</w:t>
      </w:r>
      <w:r w:rsidR="006904CF" w:rsidRPr="002E198A">
        <w:rPr>
          <w:sz w:val="28"/>
          <w:szCs w:val="28"/>
          <w:lang w:val="en-US"/>
        </w:rPr>
        <w:t xml:space="preserve"> thành trường thông tin về </w:t>
      </w:r>
      <w:r w:rsidR="00DC4BE3" w:rsidRPr="002E198A">
        <w:rPr>
          <w:sz w:val="28"/>
          <w:szCs w:val="28"/>
          <w:lang w:val="en-US"/>
        </w:rPr>
        <w:t xml:space="preserve">ký hiệu </w:t>
      </w:r>
      <w:r w:rsidR="006904CF" w:rsidRPr="002E198A">
        <w:rPr>
          <w:sz w:val="28"/>
          <w:szCs w:val="28"/>
          <w:lang w:val="en-US"/>
        </w:rPr>
        <w:t xml:space="preserve">viết tắt </w:t>
      </w:r>
      <w:r w:rsidR="00DC4BE3" w:rsidRPr="002E198A">
        <w:rPr>
          <w:sz w:val="28"/>
          <w:szCs w:val="28"/>
          <w:lang w:val="en-US"/>
        </w:rPr>
        <w:t xml:space="preserve">tên các cơ quan có thẩm quyền yêu cầu uỷ thác tư pháp </w:t>
      </w:r>
      <w:r w:rsidR="006904CF" w:rsidRPr="002E198A">
        <w:rPr>
          <w:sz w:val="28"/>
          <w:szCs w:val="28"/>
          <w:lang w:val="en-US"/>
        </w:rPr>
        <w:t>nhằm tạo thuận lợi trong việc theo dõi,</w:t>
      </w:r>
      <w:r w:rsidR="002248E8" w:rsidRPr="002E198A">
        <w:rPr>
          <w:sz w:val="28"/>
          <w:szCs w:val="28"/>
          <w:lang w:val="en-US"/>
        </w:rPr>
        <w:t xml:space="preserve"> thống kê và</w:t>
      </w:r>
      <w:r w:rsidR="006904CF" w:rsidRPr="002E198A">
        <w:rPr>
          <w:sz w:val="28"/>
          <w:szCs w:val="28"/>
          <w:lang w:val="en-US"/>
        </w:rPr>
        <w:t xml:space="preserve"> </w:t>
      </w:r>
      <w:r w:rsidR="002248E8" w:rsidRPr="002E198A">
        <w:rPr>
          <w:sz w:val="28"/>
          <w:szCs w:val="28"/>
          <w:lang w:val="en-US"/>
        </w:rPr>
        <w:t>khai thác sử dụng dữ liệu</w:t>
      </w:r>
      <w:r w:rsidR="006904CF" w:rsidRPr="002E198A">
        <w:rPr>
          <w:sz w:val="28"/>
          <w:szCs w:val="28"/>
          <w:lang w:val="en-US"/>
        </w:rPr>
        <w:t xml:space="preserve">; đồng thời, </w:t>
      </w:r>
      <w:r w:rsidR="00791DDE" w:rsidRPr="002E198A">
        <w:rPr>
          <w:sz w:val="28"/>
          <w:szCs w:val="28"/>
        </w:rPr>
        <w:t>đảm bảo thống nhất với việc sắp xếp, tinh gọn tổ chức bộ máy Tòa án nhân dân, Viện kiểm sát nhân dân</w:t>
      </w:r>
      <w:r w:rsidR="00DC4BE3" w:rsidRPr="002E198A">
        <w:rPr>
          <w:sz w:val="28"/>
          <w:szCs w:val="28"/>
          <w:lang w:val="en-US"/>
        </w:rPr>
        <w:t xml:space="preserve"> hiện nay</w:t>
      </w:r>
      <w:r w:rsidR="00422F6F" w:rsidRPr="002E198A">
        <w:rPr>
          <w:sz w:val="28"/>
          <w:szCs w:val="28"/>
          <w:lang w:val="en-US"/>
        </w:rPr>
        <w:t xml:space="preserve">; </w:t>
      </w:r>
      <w:r w:rsidRPr="002E198A">
        <w:rPr>
          <w:sz w:val="28"/>
          <w:szCs w:val="28"/>
        </w:rPr>
        <w:t xml:space="preserve">(ii) </w:t>
      </w:r>
      <w:r w:rsidR="00422F6F" w:rsidRPr="002E198A">
        <w:rPr>
          <w:sz w:val="28"/>
          <w:szCs w:val="28"/>
          <w:lang w:val="en-US"/>
        </w:rPr>
        <w:t>s</w:t>
      </w:r>
      <w:r w:rsidR="00791DDE" w:rsidRPr="002E198A">
        <w:rPr>
          <w:sz w:val="28"/>
          <w:szCs w:val="28"/>
        </w:rPr>
        <w:t xml:space="preserve">ửa đổi trường thông tin </w:t>
      </w:r>
      <w:r w:rsidRPr="002E198A">
        <w:rPr>
          <w:sz w:val="28"/>
          <w:szCs w:val="28"/>
        </w:rPr>
        <w:t xml:space="preserve">tại mục 9 theo hướng chỉ cần ghi  tên của </w:t>
      </w:r>
      <w:r w:rsidRPr="002E198A">
        <w:rPr>
          <w:i/>
          <w:iCs/>
          <w:sz w:val="28"/>
          <w:szCs w:val="28"/>
        </w:rPr>
        <w:t xml:space="preserve">“Cơ quan có thẩm quyền thực hiện ủy thác tư pháp nước </w:t>
      </w:r>
      <w:r w:rsidR="00F9248F" w:rsidRPr="002E198A">
        <w:rPr>
          <w:i/>
          <w:iCs/>
          <w:sz w:val="28"/>
          <w:szCs w:val="28"/>
        </w:rPr>
        <w:t>được ủy thác tư pháp”</w:t>
      </w:r>
      <w:r w:rsidR="00F9248F" w:rsidRPr="002E198A">
        <w:rPr>
          <w:sz w:val="28"/>
          <w:szCs w:val="28"/>
        </w:rPr>
        <w:t xml:space="preserve">. </w:t>
      </w:r>
    </w:p>
    <w:p w14:paraId="5C9D713D" w14:textId="3DD89858" w:rsidR="00F9248F" w:rsidRPr="002E198A" w:rsidRDefault="00F9248F" w:rsidP="002E198A">
      <w:pPr>
        <w:pStyle w:val="BodyText"/>
        <w:numPr>
          <w:ilvl w:val="0"/>
          <w:numId w:val="3"/>
        </w:numPr>
        <w:tabs>
          <w:tab w:val="left" w:pos="923"/>
        </w:tabs>
        <w:spacing w:before="120" w:after="120" w:line="360" w:lineRule="exact"/>
        <w:ind w:firstLine="720"/>
        <w:jc w:val="both"/>
        <w:rPr>
          <w:i/>
          <w:iCs/>
          <w:sz w:val="28"/>
          <w:szCs w:val="28"/>
        </w:rPr>
      </w:pPr>
      <w:r w:rsidRPr="002E198A">
        <w:rPr>
          <w:sz w:val="28"/>
          <w:szCs w:val="28"/>
        </w:rPr>
        <w:lastRenderedPageBreak/>
        <w:t xml:space="preserve">Đối với Văn bản ủy thác tư pháp về dân sự (mẫu số 02A): </w:t>
      </w:r>
      <w:r w:rsidR="00151926" w:rsidRPr="002E198A">
        <w:rPr>
          <w:sz w:val="28"/>
          <w:szCs w:val="28"/>
        </w:rPr>
        <w:t xml:space="preserve">(i) Sửa đổi trường thông tin tại mục 4 theo hướng chỉ cần ghi  tên của </w:t>
      </w:r>
      <w:r w:rsidR="00151926" w:rsidRPr="002E198A">
        <w:rPr>
          <w:i/>
          <w:iCs/>
          <w:sz w:val="28"/>
          <w:szCs w:val="28"/>
        </w:rPr>
        <w:t>“Cơ quan có thẩm quyền thực hiện ủy thác tư pháp nước được ủy thác tư pháp”</w:t>
      </w:r>
      <w:r w:rsidR="00151926" w:rsidRPr="002E198A">
        <w:rPr>
          <w:sz w:val="28"/>
          <w:szCs w:val="28"/>
        </w:rPr>
        <w:t xml:space="preserve">; (ii) </w:t>
      </w:r>
      <w:r w:rsidRPr="002E198A">
        <w:rPr>
          <w:sz w:val="28"/>
          <w:szCs w:val="28"/>
        </w:rPr>
        <w:t xml:space="preserve">Sửa đổi trường thông tin tại mục </w:t>
      </w:r>
      <w:r w:rsidR="00151926" w:rsidRPr="002E198A">
        <w:rPr>
          <w:sz w:val="28"/>
          <w:szCs w:val="28"/>
        </w:rPr>
        <w:t>6</w:t>
      </w:r>
      <w:r w:rsidRPr="002E198A">
        <w:rPr>
          <w:sz w:val="28"/>
          <w:szCs w:val="28"/>
        </w:rPr>
        <w:t xml:space="preserve"> thành </w:t>
      </w:r>
      <w:r w:rsidRPr="002E198A">
        <w:rPr>
          <w:i/>
          <w:iCs/>
          <w:sz w:val="28"/>
          <w:szCs w:val="28"/>
        </w:rPr>
        <w:t xml:space="preserve">“Họ và tên của người có thẩm quyền giải quyết vụ việc” </w:t>
      </w:r>
      <w:r w:rsidR="00151926" w:rsidRPr="002E198A">
        <w:rPr>
          <w:sz w:val="28"/>
          <w:szCs w:val="28"/>
        </w:rPr>
        <w:t xml:space="preserve">để thống nhất với quy định tại Điều 10 của Thông tư liên tịch số 12. </w:t>
      </w:r>
    </w:p>
    <w:p w14:paraId="695F27EF" w14:textId="127083E6" w:rsidR="00A57DEE" w:rsidRPr="002E198A" w:rsidRDefault="002A5DC6" w:rsidP="002E198A">
      <w:pPr>
        <w:pStyle w:val="BodyText"/>
        <w:numPr>
          <w:ilvl w:val="1"/>
          <w:numId w:val="6"/>
        </w:numPr>
        <w:tabs>
          <w:tab w:val="left" w:pos="1265"/>
        </w:tabs>
        <w:spacing w:before="120" w:after="120" w:line="360" w:lineRule="exact"/>
        <w:ind w:firstLine="740"/>
        <w:jc w:val="both"/>
        <w:rPr>
          <w:sz w:val="28"/>
          <w:szCs w:val="28"/>
        </w:rPr>
      </w:pPr>
      <w:bookmarkStart w:id="54" w:name="bookmark60"/>
      <w:bookmarkEnd w:id="54"/>
      <w:r w:rsidRPr="002E198A">
        <w:rPr>
          <w:b/>
          <w:bCs/>
          <w:i/>
          <w:iCs/>
          <w:sz w:val="28"/>
          <w:szCs w:val="28"/>
        </w:rPr>
        <w:t xml:space="preserve">Điều khoản </w:t>
      </w:r>
      <w:r w:rsidR="00620488" w:rsidRPr="002E198A">
        <w:rPr>
          <w:b/>
          <w:bCs/>
          <w:i/>
          <w:iCs/>
          <w:sz w:val="28"/>
          <w:szCs w:val="28"/>
          <w:lang w:val="en-US"/>
        </w:rPr>
        <w:t xml:space="preserve">chuyển tiếp và </w:t>
      </w:r>
      <w:r w:rsidR="00487B64" w:rsidRPr="002E198A">
        <w:rPr>
          <w:b/>
          <w:bCs/>
          <w:i/>
          <w:iCs/>
          <w:sz w:val="28"/>
          <w:szCs w:val="28"/>
        </w:rPr>
        <w:t xml:space="preserve">hiệu lực </w:t>
      </w:r>
      <w:r w:rsidR="00DF545F" w:rsidRPr="002E198A">
        <w:rPr>
          <w:b/>
          <w:bCs/>
          <w:i/>
          <w:iCs/>
          <w:sz w:val="28"/>
          <w:szCs w:val="28"/>
        </w:rPr>
        <w:t>thi hành</w:t>
      </w:r>
    </w:p>
    <w:p w14:paraId="028BF403" w14:textId="39592D6E" w:rsidR="00A57DEE" w:rsidRPr="002E198A" w:rsidRDefault="0002241F" w:rsidP="002E198A">
      <w:pPr>
        <w:pStyle w:val="BodyText"/>
        <w:spacing w:before="120" w:after="120" w:line="360" w:lineRule="exact"/>
        <w:ind w:firstLine="740"/>
        <w:jc w:val="both"/>
        <w:rPr>
          <w:sz w:val="28"/>
          <w:szCs w:val="28"/>
          <w:lang w:val="en-US"/>
        </w:rPr>
      </w:pPr>
      <w:r w:rsidRPr="002E198A">
        <w:rPr>
          <w:sz w:val="28"/>
          <w:szCs w:val="28"/>
          <w:lang w:val="en-US"/>
        </w:rPr>
        <w:t xml:space="preserve">- </w:t>
      </w:r>
      <w:r w:rsidR="00065995" w:rsidRPr="002E198A">
        <w:rPr>
          <w:sz w:val="28"/>
          <w:szCs w:val="28"/>
        </w:rPr>
        <w:t xml:space="preserve">Thông tư dự kiến được ban hành ngay sau khi Luật sửa đổi, bổ sung một số điều của Luật Tổ chức Tòa án nhân dân và Luật sửa đổi, bổ sung một số điều của Bộ luật Tố tụng dân sự, Luật Tố tụng hành chính, Luật Tư pháp người chưa thành niên, Luật Phá sản và Luật Hòa giải đối thoại tại Tòa án có hiệu </w:t>
      </w:r>
      <w:r w:rsidR="00A015FE" w:rsidRPr="002E198A">
        <w:rPr>
          <w:sz w:val="28"/>
          <w:szCs w:val="28"/>
        </w:rPr>
        <w:t>lực</w:t>
      </w:r>
      <w:r w:rsidR="001B53EF" w:rsidRPr="002E198A">
        <w:rPr>
          <w:sz w:val="28"/>
          <w:szCs w:val="28"/>
          <w:lang w:val="en-US"/>
        </w:rPr>
        <w:t xml:space="preserve">, dự kiến </w:t>
      </w:r>
      <w:r w:rsidR="00422F6F" w:rsidRPr="002E198A">
        <w:rPr>
          <w:sz w:val="28"/>
          <w:szCs w:val="28"/>
          <w:lang w:val="en-US"/>
        </w:rPr>
        <w:t xml:space="preserve">từ </w:t>
      </w:r>
      <w:r w:rsidR="001B53EF" w:rsidRPr="002E198A">
        <w:rPr>
          <w:sz w:val="28"/>
          <w:szCs w:val="28"/>
          <w:lang w:val="en-US"/>
        </w:rPr>
        <w:t xml:space="preserve">ngày 01/7/2025. </w:t>
      </w:r>
    </w:p>
    <w:p w14:paraId="6F9E7A05" w14:textId="2D30970D" w:rsidR="0002241F" w:rsidRPr="002E198A" w:rsidRDefault="0002241F" w:rsidP="002E198A">
      <w:pPr>
        <w:pStyle w:val="BodyText"/>
        <w:spacing w:before="120" w:after="120" w:line="360" w:lineRule="exact"/>
        <w:ind w:firstLine="740"/>
        <w:jc w:val="both"/>
        <w:rPr>
          <w:iCs/>
          <w:sz w:val="28"/>
          <w:szCs w:val="28"/>
          <w:lang w:val="en-US"/>
        </w:rPr>
      </w:pPr>
      <w:r w:rsidRPr="002E198A">
        <w:rPr>
          <w:iCs/>
          <w:sz w:val="28"/>
          <w:szCs w:val="28"/>
          <w:lang w:val="en-US"/>
        </w:rPr>
        <w:t>- Thông tư liên tịch số 12/2016/TTLT-BTP-BNG-TANDTC ngày 19/10/2016 của Bộ Tư pháp, Bộ Ngoại giao và Tòa án nhân dân tối cao quy định về trình tự, thủ tục tương trợ tư pháp trong lĩnh vực dân sự tiếp tục được áp dụng đối với hồ sơ ủy thác tư pháp của Việt Nam và ủy thác tư pháp của nước ngoài được lập</w:t>
      </w:r>
      <w:r w:rsidR="00422F6F" w:rsidRPr="002E198A">
        <w:rPr>
          <w:iCs/>
          <w:sz w:val="28"/>
          <w:szCs w:val="28"/>
          <w:lang w:val="en-US"/>
        </w:rPr>
        <w:t>, tiếp nhận</w:t>
      </w:r>
      <w:r w:rsidRPr="002E198A">
        <w:rPr>
          <w:iCs/>
          <w:sz w:val="28"/>
          <w:szCs w:val="28"/>
          <w:lang w:val="en-US"/>
        </w:rPr>
        <w:t xml:space="preserve"> trước ngày Thông tư này có hiệu lực. </w:t>
      </w:r>
    </w:p>
    <w:p w14:paraId="2AD475A3" w14:textId="4402BE26" w:rsidR="00422F6F" w:rsidRPr="002E198A" w:rsidRDefault="00422F6F" w:rsidP="002E198A">
      <w:pPr>
        <w:pStyle w:val="BodyText"/>
        <w:tabs>
          <w:tab w:val="left" w:pos="913"/>
        </w:tabs>
        <w:spacing w:before="120" w:after="120" w:line="360" w:lineRule="exact"/>
        <w:jc w:val="both"/>
        <w:rPr>
          <w:sz w:val="28"/>
          <w:szCs w:val="28"/>
        </w:rPr>
      </w:pPr>
      <w:r w:rsidRPr="002E198A">
        <w:rPr>
          <w:sz w:val="28"/>
          <w:szCs w:val="28"/>
          <w:lang w:val="en-US"/>
        </w:rPr>
        <w:tab/>
        <w:t>Như vậy, t</w:t>
      </w:r>
      <w:r w:rsidRPr="002E198A">
        <w:rPr>
          <w:sz w:val="28"/>
          <w:szCs w:val="28"/>
        </w:rPr>
        <w:t>ổng số các điều</w:t>
      </w:r>
      <w:r w:rsidRPr="002E198A">
        <w:rPr>
          <w:sz w:val="28"/>
          <w:szCs w:val="28"/>
          <w:lang w:val="en-US"/>
        </w:rPr>
        <w:t>, biểu mẫu</w:t>
      </w:r>
      <w:r w:rsidRPr="002E198A">
        <w:rPr>
          <w:sz w:val="28"/>
          <w:szCs w:val="28"/>
        </w:rPr>
        <w:t xml:space="preserve"> của Thông tư liên tịch số 12 được sửa đổi</w:t>
      </w:r>
      <w:r w:rsidRPr="002E198A">
        <w:rPr>
          <w:sz w:val="28"/>
          <w:szCs w:val="28"/>
          <w:lang w:val="en-US"/>
        </w:rPr>
        <w:t xml:space="preserve"> </w:t>
      </w:r>
      <w:r w:rsidRPr="002E198A">
        <w:rPr>
          <w:sz w:val="28"/>
          <w:szCs w:val="28"/>
        </w:rPr>
        <w:t xml:space="preserve">là </w:t>
      </w:r>
      <w:r w:rsidRPr="002E198A">
        <w:rPr>
          <w:color w:val="auto"/>
          <w:sz w:val="28"/>
          <w:szCs w:val="28"/>
          <w:lang w:val="en-US"/>
        </w:rPr>
        <w:t>02/27 điều, 02/04 biểu mẫu</w:t>
      </w:r>
      <w:r w:rsidRPr="002E198A">
        <w:rPr>
          <w:sz w:val="28"/>
          <w:szCs w:val="28"/>
          <w:shd w:val="clear" w:color="auto" w:fill="FFFFFF" w:themeFill="background1"/>
        </w:rPr>
        <w:t>.</w:t>
      </w:r>
      <w:r w:rsidRPr="002E198A">
        <w:rPr>
          <w:sz w:val="28"/>
          <w:szCs w:val="28"/>
        </w:rPr>
        <w:t xml:space="preserve"> Các nội dung sửa đổi</w:t>
      </w:r>
      <w:r w:rsidRPr="002E198A">
        <w:rPr>
          <w:sz w:val="28"/>
          <w:szCs w:val="28"/>
          <w:lang w:val="en-US"/>
        </w:rPr>
        <w:t xml:space="preserve"> liên quan đến quy định về </w:t>
      </w:r>
      <w:r w:rsidRPr="002E198A">
        <w:rPr>
          <w:sz w:val="28"/>
          <w:szCs w:val="28"/>
        </w:rPr>
        <w:t xml:space="preserve">thẩm quyền </w:t>
      </w:r>
      <w:r w:rsidRPr="002E198A">
        <w:rPr>
          <w:sz w:val="28"/>
          <w:szCs w:val="28"/>
          <w:lang w:val="en-US"/>
        </w:rPr>
        <w:t>thực hiện yêu cầu ủy thác tư pháp, nội dung sửa đổi biểu mẫu kèm thao chỉ</w:t>
      </w:r>
      <w:r w:rsidRPr="002E198A">
        <w:rPr>
          <w:sz w:val="28"/>
          <w:szCs w:val="28"/>
        </w:rPr>
        <w:t xml:space="preserve"> mang tính kỹ thuật. Các nội dung khác của Thông tư liên tịch số 12 vẫn được giữ nguyên. Vì vậy, việc ban hành Thông tư sửa đổi</w:t>
      </w:r>
      <w:r w:rsidRPr="002E198A">
        <w:rPr>
          <w:sz w:val="28"/>
          <w:szCs w:val="28"/>
          <w:lang w:val="en-US"/>
        </w:rPr>
        <w:t>, bổ sung</w:t>
      </w:r>
      <w:r w:rsidRPr="002E198A">
        <w:rPr>
          <w:sz w:val="28"/>
          <w:szCs w:val="28"/>
        </w:rPr>
        <w:t xml:space="preserve"> là phù hợp, mà không cần phải ban hành Thông tư thay thế.</w:t>
      </w:r>
    </w:p>
    <w:p w14:paraId="4E1CD80D" w14:textId="0AA5597C" w:rsidR="00A57DEE" w:rsidRPr="002E198A" w:rsidRDefault="002A5DC6" w:rsidP="002E198A">
      <w:pPr>
        <w:pStyle w:val="BodyText"/>
        <w:spacing w:before="120" w:after="120" w:line="360" w:lineRule="exact"/>
        <w:ind w:firstLine="740"/>
        <w:jc w:val="both"/>
        <w:rPr>
          <w:sz w:val="28"/>
          <w:szCs w:val="28"/>
        </w:rPr>
      </w:pPr>
      <w:r w:rsidRPr="002E198A">
        <w:rPr>
          <w:b/>
          <w:bCs/>
          <w:sz w:val="28"/>
          <w:szCs w:val="28"/>
        </w:rPr>
        <w:t>IV. DỰ KIẾN NGUỒN L</w:t>
      </w:r>
      <w:r w:rsidR="0093321D" w:rsidRPr="002E198A">
        <w:rPr>
          <w:b/>
          <w:bCs/>
          <w:sz w:val="28"/>
          <w:szCs w:val="28"/>
        </w:rPr>
        <w:t>ỰC</w:t>
      </w:r>
      <w:r w:rsidRPr="002E198A">
        <w:rPr>
          <w:b/>
          <w:bCs/>
          <w:sz w:val="28"/>
          <w:szCs w:val="28"/>
        </w:rPr>
        <w:t xml:space="preserve">, ĐIỀU KIỆN BẢO ĐẢM CHO VIỆC THI HÀNH </w:t>
      </w:r>
      <w:r w:rsidRPr="002E198A">
        <w:rPr>
          <w:b/>
          <w:bCs/>
          <w:smallCaps/>
          <w:sz w:val="28"/>
          <w:szCs w:val="28"/>
        </w:rPr>
        <w:t>THÔN</w:t>
      </w:r>
      <w:r w:rsidR="00065995" w:rsidRPr="002E198A">
        <w:rPr>
          <w:b/>
          <w:bCs/>
          <w:smallCaps/>
          <w:sz w:val="28"/>
          <w:szCs w:val="28"/>
        </w:rPr>
        <w:t xml:space="preserve">G TƯ </w:t>
      </w:r>
    </w:p>
    <w:p w14:paraId="43995712" w14:textId="065F3267" w:rsidR="00A57DEE" w:rsidRPr="002E198A" w:rsidRDefault="002A5DC6" w:rsidP="002E198A">
      <w:pPr>
        <w:pStyle w:val="Heading20"/>
        <w:keepNext/>
        <w:keepLines/>
        <w:spacing w:before="120" w:after="120" w:line="360" w:lineRule="exact"/>
        <w:jc w:val="both"/>
        <w:rPr>
          <w:sz w:val="28"/>
          <w:szCs w:val="28"/>
          <w:lang w:val="en-US"/>
        </w:rPr>
      </w:pPr>
      <w:bookmarkStart w:id="55" w:name="bookmark61"/>
      <w:bookmarkStart w:id="56" w:name="bookmark62"/>
      <w:bookmarkStart w:id="57" w:name="bookmark63"/>
      <w:r w:rsidRPr="002E198A">
        <w:rPr>
          <w:sz w:val="28"/>
          <w:szCs w:val="28"/>
        </w:rPr>
        <w:t xml:space="preserve">1. </w:t>
      </w:r>
      <w:r w:rsidR="00531966" w:rsidRPr="002E198A">
        <w:rPr>
          <w:sz w:val="28"/>
          <w:szCs w:val="28"/>
        </w:rPr>
        <w:t>V</w:t>
      </w:r>
      <w:r w:rsidRPr="002E198A">
        <w:rPr>
          <w:sz w:val="28"/>
          <w:szCs w:val="28"/>
        </w:rPr>
        <w:t>ề nguồn lực</w:t>
      </w:r>
      <w:bookmarkEnd w:id="55"/>
      <w:bookmarkEnd w:id="56"/>
      <w:bookmarkEnd w:id="57"/>
    </w:p>
    <w:p w14:paraId="6F51A7F2" w14:textId="51C2DD31" w:rsidR="00BB3881" w:rsidRPr="002E198A" w:rsidRDefault="00422F6F" w:rsidP="002E198A">
      <w:pPr>
        <w:pStyle w:val="BodyText"/>
        <w:spacing w:before="120" w:after="120" w:line="360" w:lineRule="exact"/>
        <w:ind w:firstLine="580"/>
        <w:jc w:val="both"/>
        <w:rPr>
          <w:sz w:val="28"/>
          <w:szCs w:val="28"/>
          <w:lang w:val="en-US"/>
        </w:rPr>
      </w:pPr>
      <w:r w:rsidRPr="002E198A">
        <w:rPr>
          <w:sz w:val="28"/>
          <w:szCs w:val="28"/>
          <w:lang w:val="en-US"/>
        </w:rPr>
        <w:t>V</w:t>
      </w:r>
      <w:r w:rsidR="00BB3881" w:rsidRPr="002E198A">
        <w:rPr>
          <w:sz w:val="28"/>
          <w:szCs w:val="28"/>
          <w:lang w:val="en-US"/>
        </w:rPr>
        <w:t>iệc thực hiện Thông tư được bảo đảm bằng các nguồn lực hiện có của các cơ quan, tổ chức có liên quan đến công tác thực hiện ủy thác tư pháp và nguồn ngân sách nhà nước đối với hoạt động xây dựng và tổ chức thi hành pháp luật.</w:t>
      </w:r>
    </w:p>
    <w:p w14:paraId="5BC09737" w14:textId="62C1790F" w:rsidR="00BB3881" w:rsidRPr="002E198A" w:rsidRDefault="00BB3881" w:rsidP="002E198A">
      <w:pPr>
        <w:pStyle w:val="BodyText"/>
        <w:spacing w:before="120" w:after="120" w:line="360" w:lineRule="exact"/>
        <w:ind w:firstLine="580"/>
        <w:jc w:val="both"/>
        <w:rPr>
          <w:sz w:val="28"/>
          <w:szCs w:val="28"/>
          <w:lang w:val="en-US"/>
        </w:rPr>
      </w:pPr>
      <w:r w:rsidRPr="002E198A">
        <w:rPr>
          <w:sz w:val="28"/>
          <w:szCs w:val="28"/>
          <w:lang w:val="en-US"/>
        </w:rPr>
        <w:t xml:space="preserve">Việc thực hiện Thông tư có thể làm phát sinh </w:t>
      </w:r>
      <w:r w:rsidR="00422F6F" w:rsidRPr="002E198A">
        <w:rPr>
          <w:sz w:val="28"/>
          <w:szCs w:val="28"/>
          <w:lang w:val="en-US"/>
        </w:rPr>
        <w:t>chi phí phổ biến, hướng dẫn thực hiện cho các</w:t>
      </w:r>
      <w:r w:rsidR="008C5FEE" w:rsidRPr="002E198A">
        <w:rPr>
          <w:sz w:val="28"/>
          <w:szCs w:val="28"/>
          <w:lang w:val="en-US"/>
        </w:rPr>
        <w:t xml:space="preserve"> TAND khu vực</w:t>
      </w:r>
      <w:r w:rsidR="00422F6F" w:rsidRPr="002E198A">
        <w:rPr>
          <w:sz w:val="28"/>
          <w:szCs w:val="28"/>
          <w:lang w:val="en-US"/>
        </w:rPr>
        <w:t>, VKSND khu vực do các cơ quan này mới được giao thẩm quyền giải quyết, kiếm sát hoạt động xét xử các vụ việc dân sự, vụ án hành chính có yếu tố nước ngoài có thể phát sinh tương trợ tư pháp về dân sự.</w:t>
      </w:r>
    </w:p>
    <w:p w14:paraId="719C5539" w14:textId="27A9BB94" w:rsidR="00A57DEE" w:rsidRPr="002E198A" w:rsidRDefault="00065995" w:rsidP="002E198A">
      <w:pPr>
        <w:pStyle w:val="Heading20"/>
        <w:keepNext/>
        <w:keepLines/>
        <w:numPr>
          <w:ilvl w:val="0"/>
          <w:numId w:val="7"/>
        </w:numPr>
        <w:tabs>
          <w:tab w:val="left" w:pos="993"/>
        </w:tabs>
        <w:spacing w:before="120" w:after="120" w:line="360" w:lineRule="exact"/>
        <w:ind w:firstLine="680"/>
        <w:jc w:val="both"/>
        <w:rPr>
          <w:sz w:val="28"/>
          <w:szCs w:val="28"/>
        </w:rPr>
      </w:pPr>
      <w:bookmarkStart w:id="58" w:name="bookmark66"/>
      <w:bookmarkEnd w:id="58"/>
      <w:r w:rsidRPr="002E198A">
        <w:rPr>
          <w:sz w:val="28"/>
          <w:szCs w:val="28"/>
        </w:rPr>
        <w:t>Về điều kiện thi h</w:t>
      </w:r>
      <w:r w:rsidRPr="002E198A">
        <w:rPr>
          <w:sz w:val="28"/>
          <w:szCs w:val="28"/>
          <w:lang w:val="en-US"/>
        </w:rPr>
        <w:t>ành</w:t>
      </w:r>
    </w:p>
    <w:p w14:paraId="446AE337" w14:textId="575B5DF7" w:rsidR="005C1CB3" w:rsidRPr="002E198A" w:rsidRDefault="005C1CB3" w:rsidP="002E198A">
      <w:pPr>
        <w:pStyle w:val="BodyText"/>
        <w:tabs>
          <w:tab w:val="left" w:pos="709"/>
        </w:tabs>
        <w:spacing w:before="120" w:after="120" w:line="360" w:lineRule="exact"/>
        <w:ind w:firstLine="0"/>
        <w:jc w:val="both"/>
        <w:rPr>
          <w:sz w:val="28"/>
          <w:szCs w:val="28"/>
          <w:lang w:val="en-US"/>
        </w:rPr>
      </w:pPr>
      <w:r w:rsidRPr="002E198A">
        <w:rPr>
          <w:sz w:val="28"/>
          <w:szCs w:val="28"/>
          <w:lang w:val="en-US"/>
        </w:rPr>
        <w:tab/>
      </w:r>
      <w:r w:rsidR="00207877" w:rsidRPr="002E198A">
        <w:rPr>
          <w:sz w:val="28"/>
          <w:szCs w:val="28"/>
        </w:rPr>
        <w:t xml:space="preserve">Tổ chức tuyên truyền, phổ biến về Thông tư liên tịch: Bộ Tư pháp, và các liên quan (Bộ Ngoại giao, Tòa án nhân dân tối cao) tổ chức tuyên truyền, phổ biến thực hiện Thông tư liên tịch cho hệ thống Tòa án nhân dân, </w:t>
      </w:r>
      <w:r w:rsidR="00422F6F" w:rsidRPr="002E198A">
        <w:rPr>
          <w:sz w:val="28"/>
          <w:szCs w:val="28"/>
          <w:lang w:val="en-US"/>
        </w:rPr>
        <w:t>Viện kiểm sát nhân dân</w:t>
      </w:r>
      <w:r w:rsidR="00207877" w:rsidRPr="002E198A">
        <w:rPr>
          <w:sz w:val="28"/>
          <w:szCs w:val="28"/>
        </w:rPr>
        <w:t>.</w:t>
      </w:r>
    </w:p>
    <w:p w14:paraId="70458252" w14:textId="4A153995" w:rsidR="00422F6F" w:rsidRPr="002E198A" w:rsidRDefault="002E198A" w:rsidP="002E198A">
      <w:pPr>
        <w:pStyle w:val="BodyText"/>
        <w:tabs>
          <w:tab w:val="left" w:pos="709"/>
        </w:tabs>
        <w:spacing w:before="120" w:after="120" w:line="360" w:lineRule="exact"/>
        <w:ind w:firstLine="0"/>
        <w:jc w:val="both"/>
        <w:rPr>
          <w:b/>
          <w:bCs/>
          <w:sz w:val="28"/>
          <w:szCs w:val="28"/>
          <w:lang w:val="en-US"/>
        </w:rPr>
      </w:pPr>
      <w:r w:rsidRPr="002E198A">
        <w:rPr>
          <w:b/>
          <w:bCs/>
          <w:sz w:val="28"/>
          <w:szCs w:val="28"/>
          <w:lang w:val="en-US"/>
        </w:rPr>
        <w:lastRenderedPageBreak/>
        <w:tab/>
      </w:r>
      <w:r w:rsidR="00422F6F" w:rsidRPr="002E198A">
        <w:rPr>
          <w:b/>
          <w:bCs/>
          <w:sz w:val="28"/>
          <w:szCs w:val="28"/>
          <w:lang w:val="en-US"/>
        </w:rPr>
        <w:t>V. Về trình tự, thủ tục ban hành</w:t>
      </w:r>
    </w:p>
    <w:p w14:paraId="4F5539C9" w14:textId="3B07953A" w:rsidR="006D3EFA" w:rsidRPr="002E198A" w:rsidRDefault="001E0071" w:rsidP="002E198A">
      <w:pPr>
        <w:pStyle w:val="BodyText"/>
        <w:spacing w:before="120" w:after="120" w:line="360" w:lineRule="exact"/>
        <w:ind w:firstLine="680"/>
        <w:jc w:val="both"/>
        <w:rPr>
          <w:sz w:val="28"/>
          <w:szCs w:val="28"/>
          <w:lang w:val="en-US"/>
        </w:rPr>
      </w:pPr>
      <w:r w:rsidRPr="002E198A">
        <w:rPr>
          <w:sz w:val="28"/>
          <w:szCs w:val="28"/>
        </w:rPr>
        <w:t xml:space="preserve">Việc sửa </w:t>
      </w:r>
      <w:r w:rsidR="005D66C8" w:rsidRPr="002E198A">
        <w:rPr>
          <w:sz w:val="28"/>
          <w:szCs w:val="28"/>
          <w:lang w:val="en-US"/>
        </w:rPr>
        <w:t>T</w:t>
      </w:r>
      <w:r w:rsidR="005D66C8" w:rsidRPr="002E198A">
        <w:rPr>
          <w:sz w:val="28"/>
          <w:szCs w:val="28"/>
        </w:rPr>
        <w:t xml:space="preserve">hông </w:t>
      </w:r>
      <w:r w:rsidRPr="002E198A">
        <w:rPr>
          <w:sz w:val="28"/>
          <w:szCs w:val="28"/>
        </w:rPr>
        <w:t>tư liên tịch 12 liên quan đến việc sắp xếp tổ chức bộ máy nhà nướ</w:t>
      </w:r>
      <w:r w:rsidR="005F5CD2" w:rsidRPr="002E198A">
        <w:rPr>
          <w:sz w:val="28"/>
          <w:szCs w:val="28"/>
        </w:rPr>
        <w:t>c;</w:t>
      </w:r>
      <w:r w:rsidR="00EB4F49" w:rsidRPr="002E198A">
        <w:rPr>
          <w:sz w:val="28"/>
          <w:szCs w:val="28"/>
          <w:lang w:val="en-US"/>
        </w:rPr>
        <w:t xml:space="preserve"> thực thi Luật sửa đổi, bổ sung </w:t>
      </w:r>
      <w:r w:rsidR="006D3EFA" w:rsidRPr="002E198A">
        <w:rPr>
          <w:sz w:val="28"/>
          <w:szCs w:val="28"/>
          <w:lang w:val="en-US"/>
        </w:rPr>
        <w:t xml:space="preserve">Luật </w:t>
      </w:r>
      <w:r w:rsidR="005D66C8" w:rsidRPr="002E198A">
        <w:rPr>
          <w:sz w:val="28"/>
          <w:szCs w:val="28"/>
          <w:lang w:val="en-US"/>
        </w:rPr>
        <w:t>TCTAND</w:t>
      </w:r>
      <w:r w:rsidR="00EB4F49" w:rsidRPr="002E198A">
        <w:rPr>
          <w:sz w:val="28"/>
          <w:szCs w:val="28"/>
          <w:lang w:val="en-US"/>
        </w:rPr>
        <w:t xml:space="preserve">; Luật sửa đổi, bổ sung Luật </w:t>
      </w:r>
      <w:r w:rsidR="005D66C8" w:rsidRPr="002E198A">
        <w:rPr>
          <w:sz w:val="28"/>
          <w:szCs w:val="28"/>
          <w:lang w:val="en-US"/>
        </w:rPr>
        <w:t>TCVKSND</w:t>
      </w:r>
      <w:r w:rsidR="00EB4F49" w:rsidRPr="002E198A">
        <w:rPr>
          <w:sz w:val="28"/>
          <w:szCs w:val="28"/>
          <w:lang w:val="en-US"/>
        </w:rPr>
        <w:t>; Luật sửa đổ</w:t>
      </w:r>
      <w:r w:rsidR="006D3EFA" w:rsidRPr="002E198A">
        <w:rPr>
          <w:sz w:val="28"/>
          <w:szCs w:val="28"/>
          <w:lang w:val="en-US"/>
        </w:rPr>
        <w:t>i</w:t>
      </w:r>
      <w:r w:rsidR="00EB4F49" w:rsidRPr="002E198A">
        <w:rPr>
          <w:sz w:val="28"/>
          <w:szCs w:val="28"/>
          <w:lang w:val="en-US"/>
        </w:rPr>
        <w:t xml:space="preserve">, bổ sung 05 luật. Do đó, căn cứ </w:t>
      </w:r>
      <w:r w:rsidRPr="002E198A">
        <w:rPr>
          <w:sz w:val="28"/>
          <w:szCs w:val="28"/>
        </w:rPr>
        <w:t>khoản 3 Điều 1, khoản 2 Điều 11 Nghị quyết số 190/2025/QH15 ngày 19/02/2025 của Quốc hội quy định về xử lý một số vấn đề liên quan đến sắp xếp tổ chức bộ máy nhà nước và điểm d, khoản 1 Điều 50 Luật Ban hành văn bản quy phạm pháp luật năm 2025</w:t>
      </w:r>
      <w:r w:rsidR="005D66C8" w:rsidRPr="002E198A">
        <w:rPr>
          <w:sz w:val="28"/>
          <w:szCs w:val="28"/>
          <w:lang w:val="en-US"/>
        </w:rPr>
        <w:t xml:space="preserve">, </w:t>
      </w:r>
      <w:r w:rsidRPr="002E198A">
        <w:rPr>
          <w:iCs/>
          <w:sz w:val="28"/>
          <w:szCs w:val="28"/>
        </w:rPr>
        <w:t>việc sửa đổi, bổ sung Thông tư liên tịch 12 sẽ được thực hiện theo trình tự rút gọn</w:t>
      </w:r>
      <w:r w:rsidR="006D3EFA" w:rsidRPr="002E198A">
        <w:rPr>
          <w:iCs/>
          <w:sz w:val="28"/>
          <w:szCs w:val="28"/>
          <w:lang w:val="en-US"/>
        </w:rPr>
        <w:t xml:space="preserve">. </w:t>
      </w:r>
    </w:p>
    <w:p w14:paraId="171050E9" w14:textId="28AE3882" w:rsidR="002A0F3E" w:rsidRPr="002E198A" w:rsidRDefault="002A0F3E" w:rsidP="002E198A">
      <w:pPr>
        <w:pStyle w:val="BodyText"/>
        <w:spacing w:before="120" w:after="120" w:line="360" w:lineRule="exact"/>
        <w:ind w:firstLine="680"/>
        <w:jc w:val="both"/>
        <w:rPr>
          <w:sz w:val="28"/>
          <w:szCs w:val="28"/>
          <w:lang w:val="en-US"/>
        </w:rPr>
      </w:pPr>
      <w:r w:rsidRPr="002E198A">
        <w:rPr>
          <w:sz w:val="28"/>
          <w:szCs w:val="28"/>
          <w:lang w:val="en-US"/>
        </w:rPr>
        <w:t xml:space="preserve">Trên đây là Tờ trình dự thảo Thông tư liên tịch sửa đổi, bổ sung một số điều của Thông tư liên tịch số 12/2016/TTLT-BTP-BNG-TAND ngày 19/10/2016 của Bộ Tư pháp, Bộ Ngoại giao, Tòa án nhân dân tối cao quy định về trình tự, thủ tục trong tương trợ tư pháp trong lĩnh vực dân sự. Vụ Pháp luật quốc tế kình trình Bộ trưởng xem xét, quyết định./. </w:t>
      </w:r>
    </w:p>
    <w:p w14:paraId="7EAAADD6" w14:textId="1820EDFD" w:rsidR="006427E4" w:rsidRPr="002E198A" w:rsidRDefault="002A5DC6" w:rsidP="002E198A">
      <w:pPr>
        <w:pStyle w:val="BodyText"/>
        <w:spacing w:before="120" w:after="120" w:line="360" w:lineRule="exact"/>
        <w:ind w:firstLine="820"/>
        <w:jc w:val="both"/>
        <w:rPr>
          <w:i/>
          <w:iCs/>
          <w:sz w:val="28"/>
          <w:szCs w:val="28"/>
          <w:lang w:val="en-US"/>
        </w:rPr>
      </w:pPr>
      <w:r w:rsidRPr="002E198A">
        <w:rPr>
          <w:i/>
          <w:iCs/>
          <w:sz w:val="28"/>
          <w:szCs w:val="28"/>
        </w:rPr>
        <w:t>(Xin gửi kèm theo: (1) Dự thảo Thông tư; (</w:t>
      </w:r>
      <w:r w:rsidR="009C51FD" w:rsidRPr="002E198A">
        <w:rPr>
          <w:i/>
          <w:iCs/>
          <w:sz w:val="28"/>
          <w:szCs w:val="28"/>
        </w:rPr>
        <w:t>2</w:t>
      </w:r>
      <w:r w:rsidRPr="002E198A">
        <w:rPr>
          <w:i/>
          <w:iCs/>
          <w:sz w:val="28"/>
          <w:szCs w:val="28"/>
        </w:rPr>
        <w:t>) Bản tổng hợp, tiếp thu, giải trình ý kiến của các cơ quan, đơn vị đối với dự thảo Thông tư; (</w:t>
      </w:r>
      <w:r w:rsidR="009C51FD" w:rsidRPr="002E198A">
        <w:rPr>
          <w:i/>
          <w:iCs/>
          <w:sz w:val="28"/>
          <w:szCs w:val="28"/>
        </w:rPr>
        <w:t>3</w:t>
      </w:r>
      <w:r w:rsidRPr="002E198A">
        <w:rPr>
          <w:i/>
          <w:iCs/>
          <w:sz w:val="28"/>
          <w:szCs w:val="28"/>
        </w:rPr>
        <w:t xml:space="preserve">) Bản chụp văn bản góp ý của </w:t>
      </w:r>
      <w:r w:rsidR="001B53EF" w:rsidRPr="002E198A">
        <w:rPr>
          <w:i/>
          <w:iCs/>
          <w:sz w:val="28"/>
          <w:szCs w:val="28"/>
        </w:rPr>
        <w:t>các cơ quan, tổ chức</w:t>
      </w:r>
      <w:r w:rsidR="006427E4" w:rsidRPr="002E198A">
        <w:rPr>
          <w:i/>
          <w:iCs/>
          <w:sz w:val="28"/>
          <w:szCs w:val="28"/>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42"/>
      </w:tblGrid>
      <w:tr w:rsidR="006427E4" w14:paraId="3A281F7A" w14:textId="77777777" w:rsidTr="0097211C">
        <w:trPr>
          <w:trHeight w:val="2719"/>
        </w:trPr>
        <w:tc>
          <w:tcPr>
            <w:tcW w:w="4640" w:type="dxa"/>
          </w:tcPr>
          <w:p w14:paraId="76DA8F8A" w14:textId="778EF67E" w:rsidR="006427E4" w:rsidRPr="006427E4" w:rsidRDefault="006427E4" w:rsidP="006427E4">
            <w:pPr>
              <w:pStyle w:val="BodyText"/>
              <w:spacing w:after="0"/>
              <w:ind w:firstLine="0"/>
              <w:jc w:val="both"/>
              <w:rPr>
                <w:sz w:val="22"/>
                <w:szCs w:val="22"/>
              </w:rPr>
            </w:pPr>
            <w:r w:rsidRPr="006427E4">
              <w:rPr>
                <w:b/>
                <w:bCs/>
                <w:i/>
                <w:iCs/>
                <w:sz w:val="22"/>
                <w:szCs w:val="22"/>
              </w:rPr>
              <w:t>Nơi nhận:</w:t>
            </w:r>
          </w:p>
          <w:p w14:paraId="39C19652" w14:textId="77777777" w:rsidR="006427E4" w:rsidRPr="006427E4" w:rsidRDefault="006427E4" w:rsidP="006427E4">
            <w:pPr>
              <w:pStyle w:val="Bodytext20"/>
              <w:numPr>
                <w:ilvl w:val="0"/>
                <w:numId w:val="3"/>
              </w:numPr>
              <w:tabs>
                <w:tab w:val="left" w:pos="258"/>
              </w:tabs>
              <w:jc w:val="both"/>
            </w:pPr>
            <w:r w:rsidRPr="006427E4">
              <w:t>Như trên;</w:t>
            </w:r>
          </w:p>
          <w:p w14:paraId="52B0A4ED" w14:textId="77777777" w:rsidR="006427E4" w:rsidRPr="006427E4" w:rsidRDefault="006427E4" w:rsidP="006427E4">
            <w:pPr>
              <w:pStyle w:val="Bodytext20"/>
              <w:numPr>
                <w:ilvl w:val="0"/>
                <w:numId w:val="3"/>
              </w:numPr>
              <w:tabs>
                <w:tab w:val="left" w:pos="258"/>
              </w:tabs>
              <w:jc w:val="both"/>
            </w:pPr>
            <w:r w:rsidRPr="006427E4">
              <w:t>Thứ Nguyễn Thanh Tịnh (để báo cáo);</w:t>
            </w:r>
          </w:p>
          <w:p w14:paraId="5DB3E978" w14:textId="77777777" w:rsidR="006427E4" w:rsidRPr="006427E4" w:rsidRDefault="006427E4" w:rsidP="006427E4">
            <w:pPr>
              <w:pStyle w:val="Bodytext20"/>
              <w:numPr>
                <w:ilvl w:val="0"/>
                <w:numId w:val="3"/>
              </w:numPr>
              <w:tabs>
                <w:tab w:val="left" w:pos="258"/>
              </w:tabs>
              <w:jc w:val="both"/>
            </w:pPr>
            <w:r w:rsidRPr="006427E4">
              <w:t>Các Phó Vụ trưởng (để biết);</w:t>
            </w:r>
          </w:p>
          <w:p w14:paraId="30472A74" w14:textId="258E910E" w:rsidR="006427E4" w:rsidRPr="006427E4" w:rsidRDefault="006427E4" w:rsidP="006427E4">
            <w:pPr>
              <w:pStyle w:val="Bodytext20"/>
              <w:numPr>
                <w:ilvl w:val="0"/>
                <w:numId w:val="3"/>
              </w:numPr>
              <w:tabs>
                <w:tab w:val="left" w:pos="258"/>
              </w:tabs>
              <w:jc w:val="both"/>
            </w:pPr>
            <w:r w:rsidRPr="006427E4">
              <w:t xml:space="preserve">Lưu: VT, </w:t>
            </w:r>
            <w:r w:rsidRPr="006427E4">
              <w:rPr>
                <w:lang w:val="en-US"/>
              </w:rPr>
              <w:t>TPQT</w:t>
            </w:r>
          </w:p>
        </w:tc>
        <w:tc>
          <w:tcPr>
            <w:tcW w:w="4641" w:type="dxa"/>
          </w:tcPr>
          <w:p w14:paraId="1AFB558D" w14:textId="77777777" w:rsidR="006427E4" w:rsidRDefault="006427E4" w:rsidP="006427E4">
            <w:pPr>
              <w:pStyle w:val="BodyText"/>
              <w:spacing w:after="740" w:line="276" w:lineRule="auto"/>
              <w:ind w:firstLine="0"/>
              <w:jc w:val="center"/>
              <w:rPr>
                <w:b/>
                <w:bCs/>
                <w:sz w:val="28"/>
                <w:szCs w:val="28"/>
                <w:lang w:val="en-US"/>
              </w:rPr>
            </w:pPr>
            <w:r>
              <w:rPr>
                <w:b/>
                <w:bCs/>
                <w:sz w:val="28"/>
                <w:szCs w:val="28"/>
                <w:lang w:val="en-US"/>
              </w:rPr>
              <w:t>VỤ</w:t>
            </w:r>
            <w:r>
              <w:rPr>
                <w:b/>
                <w:bCs/>
                <w:sz w:val="28"/>
                <w:szCs w:val="28"/>
              </w:rPr>
              <w:t xml:space="preserve"> TRƯỞNG</w:t>
            </w:r>
          </w:p>
          <w:p w14:paraId="370DC6EF" w14:textId="77777777" w:rsidR="006427E4" w:rsidRDefault="006427E4" w:rsidP="006427E4">
            <w:pPr>
              <w:pStyle w:val="BodyText"/>
              <w:spacing w:after="740" w:line="276" w:lineRule="auto"/>
              <w:ind w:firstLine="0"/>
              <w:jc w:val="center"/>
              <w:rPr>
                <w:b/>
                <w:bCs/>
                <w:sz w:val="28"/>
                <w:szCs w:val="28"/>
                <w:lang w:val="en-US"/>
              </w:rPr>
            </w:pPr>
          </w:p>
          <w:p w14:paraId="3534803B" w14:textId="4E6EDA40" w:rsidR="006427E4" w:rsidRPr="006427E4" w:rsidRDefault="006427E4" w:rsidP="006427E4">
            <w:pPr>
              <w:pStyle w:val="BodyText"/>
              <w:spacing w:after="740" w:line="276" w:lineRule="auto"/>
              <w:ind w:firstLine="0"/>
              <w:jc w:val="center"/>
              <w:rPr>
                <w:b/>
                <w:sz w:val="28"/>
                <w:szCs w:val="28"/>
                <w:lang w:val="en-US"/>
              </w:rPr>
            </w:pPr>
            <w:r w:rsidRPr="006427E4">
              <w:rPr>
                <w:b/>
                <w:sz w:val="28"/>
                <w:szCs w:val="28"/>
                <w:lang w:val="en-US"/>
              </w:rPr>
              <w:t>Bạch Quốc An</w:t>
            </w:r>
          </w:p>
        </w:tc>
      </w:tr>
    </w:tbl>
    <w:p w14:paraId="409079FF" w14:textId="77777777" w:rsidR="006427E4" w:rsidRPr="006427E4" w:rsidRDefault="006427E4" w:rsidP="006427E4">
      <w:pPr>
        <w:pStyle w:val="BodyText"/>
        <w:spacing w:after="740" w:line="276" w:lineRule="auto"/>
        <w:ind w:firstLine="820"/>
        <w:jc w:val="both"/>
        <w:rPr>
          <w:sz w:val="28"/>
          <w:szCs w:val="28"/>
          <w:lang w:val="en-US"/>
        </w:rPr>
      </w:pPr>
    </w:p>
    <w:sectPr w:rsidR="006427E4" w:rsidRPr="006427E4" w:rsidSect="008C1F86">
      <w:headerReference w:type="default" r:id="rId8"/>
      <w:headerReference w:type="first" r:id="rId9"/>
      <w:pgSz w:w="11900" w:h="16840"/>
      <w:pgMar w:top="1134" w:right="1134" w:bottom="1134" w:left="1701" w:header="0" w:footer="5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1EF54" w14:textId="77777777" w:rsidR="007A6559" w:rsidRDefault="007A6559">
      <w:r>
        <w:separator/>
      </w:r>
    </w:p>
  </w:endnote>
  <w:endnote w:type="continuationSeparator" w:id="0">
    <w:p w14:paraId="71F2C08E" w14:textId="77777777" w:rsidR="007A6559" w:rsidRDefault="007A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90E47" w14:textId="77777777" w:rsidR="007A6559" w:rsidRDefault="007A6559"/>
  </w:footnote>
  <w:footnote w:type="continuationSeparator" w:id="0">
    <w:p w14:paraId="20CB3D24" w14:textId="77777777" w:rsidR="007A6559" w:rsidRDefault="007A65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82EBB" w14:textId="77777777" w:rsidR="00A57DEE" w:rsidRDefault="002A5DC6">
    <w:pPr>
      <w:spacing w:line="1" w:lineRule="exact"/>
    </w:pPr>
    <w:r>
      <w:rPr>
        <w:noProof/>
        <w:lang w:val="en-US" w:eastAsia="en-US" w:bidi="ar-SA"/>
      </w:rPr>
      <mc:AlternateContent>
        <mc:Choice Requires="wps">
          <w:drawing>
            <wp:anchor distT="0" distB="0" distL="0" distR="0" simplePos="0" relativeHeight="62914690" behindDoc="1" locked="0" layoutInCell="1" allowOverlap="1" wp14:anchorId="6F421E72" wp14:editId="5696E2AA">
              <wp:simplePos x="0" y="0"/>
              <wp:positionH relativeFrom="page">
                <wp:posOffset>3908425</wp:posOffset>
              </wp:positionH>
              <wp:positionV relativeFrom="page">
                <wp:posOffset>582930</wp:posOffset>
              </wp:positionV>
              <wp:extent cx="79375"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79375" cy="121920"/>
                      </a:xfrm>
                      <a:prstGeom prst="rect">
                        <a:avLst/>
                      </a:prstGeom>
                      <a:noFill/>
                    </wps:spPr>
                    <wps:txbx>
                      <w:txbxContent>
                        <w:p w14:paraId="0AFA86F7" w14:textId="77777777" w:rsidR="00A57DEE" w:rsidRDefault="002A5DC6">
                          <w:pPr>
                            <w:pStyle w:val="Headerorfooter20"/>
                            <w:rPr>
                              <w:sz w:val="28"/>
                              <w:szCs w:val="28"/>
                            </w:rPr>
                          </w:pPr>
                          <w:r>
                            <w:fldChar w:fldCharType="begin"/>
                          </w:r>
                          <w:r>
                            <w:instrText xml:space="preserve"> PAGE \* MERGEFORMAT </w:instrText>
                          </w:r>
                          <w:r>
                            <w:fldChar w:fldCharType="separate"/>
                          </w:r>
                          <w:r w:rsidR="006D3EFA" w:rsidRPr="006D3EFA">
                            <w:rPr>
                              <w:noProof/>
                              <w:sz w:val="28"/>
                              <w:szCs w:val="28"/>
                            </w:rPr>
                            <w:t>6</w:t>
                          </w:r>
                          <w:r>
                            <w:rPr>
                              <w:sz w:val="28"/>
                              <w:szCs w:val="28"/>
                            </w:rPr>
                            <w:fldChar w:fldCharType="end"/>
                          </w:r>
                        </w:p>
                      </w:txbxContent>
                    </wps:txbx>
                    <wps:bodyPr wrap="none" lIns="0" tIns="0" rIns="0" bIns="0">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6F421E72" id="_x0000_t202" coordsize="21600,21600" o:spt="202" path="m,l,21600r21600,l21600,xe">
              <v:stroke joinstyle="miter"/>
              <v:path gradientshapeok="t" o:connecttype="rect"/>
            </v:shapetype>
            <v:shape id="Shape 3" o:spid="_x0000_s1026" type="#_x0000_t202" style="position:absolute;margin-left:307.75pt;margin-top:45.9pt;width:6.25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" filled="f" stroked="f">
              <v:textbox style="mso-fit-shape-to-text:t" inset="0,0,0,0">
                <w:txbxContent>
                  <w:p w14:paraId="0AFA86F7" w14:textId="77777777" w:rsidR="00A57DEE" w:rsidRDefault="002A5DC6">
                    <w:pPr>
                      <w:pStyle w:val="Headerorfooter20"/>
                      <w:rPr>
                        <w:sz w:val="28"/>
                        <w:szCs w:val="28"/>
                      </w:rPr>
                    </w:pPr>
                    <w:r>
                      <w:fldChar w:fldCharType="begin"/>
                    </w:r>
                    <w:r>
                      <w:instrText xml:space="preserve"> PAGE \* MERGEFORMAT </w:instrText>
                    </w:r>
                    <w:r>
                      <w:fldChar w:fldCharType="separate"/>
                    </w:r>
                    <w:r w:rsidR="006D3EFA" w:rsidRPr="006D3EFA">
                      <w:rPr>
                        <w:noProof/>
                        <w:sz w:val="28"/>
                        <w:szCs w:val="28"/>
                      </w:rPr>
                      <w:t>6</w:t>
                    </w:r>
                    <w:r>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02B88" w14:textId="77777777" w:rsidR="00A57DEE" w:rsidRDefault="00A57DEE">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75738"/>
    <w:multiLevelType w:val="multilevel"/>
    <w:tmpl w:val="7F6CBC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B2099D"/>
    <w:multiLevelType w:val="multilevel"/>
    <w:tmpl w:val="EFB0B85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FE25C4"/>
    <w:multiLevelType w:val="multilevel"/>
    <w:tmpl w:val="10529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32704D"/>
    <w:multiLevelType w:val="multilevel"/>
    <w:tmpl w:val="2D1A9A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154B60"/>
    <w:multiLevelType w:val="multilevel"/>
    <w:tmpl w:val="E9A4F00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312C39"/>
    <w:multiLevelType w:val="hybridMultilevel"/>
    <w:tmpl w:val="D31679E6"/>
    <w:lvl w:ilvl="0" w:tplc="949A56C2">
      <w:start w:val="4"/>
      <w:numFmt w:val="bullet"/>
      <w:lvlText w:val="-"/>
      <w:lvlJc w:val="left"/>
      <w:pPr>
        <w:ind w:left="1100" w:hanging="360"/>
      </w:pPr>
      <w:rPr>
        <w:rFonts w:ascii="Times New Roman" w:eastAsia="Times New Roman" w:hAnsi="Times New Roman" w:cs="Times New Roman" w:hint="default"/>
        <w:sz w:val="27"/>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6" w15:restartNumberingAfterBreak="0">
    <w:nsid w:val="50F03D71"/>
    <w:multiLevelType w:val="multilevel"/>
    <w:tmpl w:val="C5FE2D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534682"/>
    <w:multiLevelType w:val="hybridMultilevel"/>
    <w:tmpl w:val="AB72D584"/>
    <w:lvl w:ilvl="0" w:tplc="1EDC25D4">
      <w:start w:val="2"/>
      <w:numFmt w:val="bullet"/>
      <w:lvlText w:val="-"/>
      <w:lvlJc w:val="left"/>
      <w:pPr>
        <w:ind w:left="1224" w:hanging="360"/>
      </w:pPr>
      <w:rPr>
        <w:rFonts w:ascii="Times New Roman" w:eastAsia="Times New Roman"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6E341254"/>
    <w:multiLevelType w:val="multilevel"/>
    <w:tmpl w:val="B0E2667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3"/>
  </w:num>
  <w:num w:numId="4">
    <w:abstractNumId w:val="2"/>
  </w:num>
  <w:num w:numId="5">
    <w:abstractNumId w:val="1"/>
  </w:num>
  <w:num w:numId="6">
    <w:abstractNumId w:val="6"/>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EE"/>
    <w:rsid w:val="00000EC5"/>
    <w:rsid w:val="0001026E"/>
    <w:rsid w:val="00015B75"/>
    <w:rsid w:val="00016748"/>
    <w:rsid w:val="0002241F"/>
    <w:rsid w:val="00023655"/>
    <w:rsid w:val="00026482"/>
    <w:rsid w:val="00045074"/>
    <w:rsid w:val="00046BB9"/>
    <w:rsid w:val="00065995"/>
    <w:rsid w:val="000706B7"/>
    <w:rsid w:val="0007241D"/>
    <w:rsid w:val="00077C7D"/>
    <w:rsid w:val="000917F7"/>
    <w:rsid w:val="000A3FF3"/>
    <w:rsid w:val="000C0F72"/>
    <w:rsid w:val="000D316D"/>
    <w:rsid w:val="000E1F75"/>
    <w:rsid w:val="000F7FDD"/>
    <w:rsid w:val="00107614"/>
    <w:rsid w:val="001303A1"/>
    <w:rsid w:val="001454CC"/>
    <w:rsid w:val="00151926"/>
    <w:rsid w:val="00196B3C"/>
    <w:rsid w:val="001A743E"/>
    <w:rsid w:val="001B53EF"/>
    <w:rsid w:val="001E0071"/>
    <w:rsid w:val="001F3885"/>
    <w:rsid w:val="00207877"/>
    <w:rsid w:val="00217564"/>
    <w:rsid w:val="002248E8"/>
    <w:rsid w:val="00231505"/>
    <w:rsid w:val="00265746"/>
    <w:rsid w:val="00270080"/>
    <w:rsid w:val="00287BF7"/>
    <w:rsid w:val="002A0F3E"/>
    <w:rsid w:val="002A5DC6"/>
    <w:rsid w:val="002B4396"/>
    <w:rsid w:val="002C06A0"/>
    <w:rsid w:val="002C119F"/>
    <w:rsid w:val="002D4C83"/>
    <w:rsid w:val="002E198A"/>
    <w:rsid w:val="002F323D"/>
    <w:rsid w:val="00326748"/>
    <w:rsid w:val="00330EB0"/>
    <w:rsid w:val="003409FB"/>
    <w:rsid w:val="00361BDF"/>
    <w:rsid w:val="00371116"/>
    <w:rsid w:val="0037142F"/>
    <w:rsid w:val="00396C9E"/>
    <w:rsid w:val="003A03DE"/>
    <w:rsid w:val="003B6C8A"/>
    <w:rsid w:val="003C1D65"/>
    <w:rsid w:val="003D46F0"/>
    <w:rsid w:val="003D7722"/>
    <w:rsid w:val="003E2744"/>
    <w:rsid w:val="003F18FE"/>
    <w:rsid w:val="00422F6F"/>
    <w:rsid w:val="0043278A"/>
    <w:rsid w:val="00434DCE"/>
    <w:rsid w:val="004425F5"/>
    <w:rsid w:val="00485A7B"/>
    <w:rsid w:val="00487B64"/>
    <w:rsid w:val="004972BE"/>
    <w:rsid w:val="004D6630"/>
    <w:rsid w:val="005023D1"/>
    <w:rsid w:val="00522728"/>
    <w:rsid w:val="00523064"/>
    <w:rsid w:val="00523CEE"/>
    <w:rsid w:val="00531966"/>
    <w:rsid w:val="00532888"/>
    <w:rsid w:val="005418ED"/>
    <w:rsid w:val="00561C14"/>
    <w:rsid w:val="005732C0"/>
    <w:rsid w:val="005B76BD"/>
    <w:rsid w:val="005C1CB3"/>
    <w:rsid w:val="005C5103"/>
    <w:rsid w:val="005D66C8"/>
    <w:rsid w:val="005D71A3"/>
    <w:rsid w:val="005F5CD2"/>
    <w:rsid w:val="005F6108"/>
    <w:rsid w:val="005F72FB"/>
    <w:rsid w:val="00620488"/>
    <w:rsid w:val="0062300E"/>
    <w:rsid w:val="006427E4"/>
    <w:rsid w:val="006515DA"/>
    <w:rsid w:val="00680003"/>
    <w:rsid w:val="0068136F"/>
    <w:rsid w:val="006904CF"/>
    <w:rsid w:val="006A633C"/>
    <w:rsid w:val="006B38C1"/>
    <w:rsid w:val="006C56B6"/>
    <w:rsid w:val="006D07F1"/>
    <w:rsid w:val="006D3EFA"/>
    <w:rsid w:val="006E18AB"/>
    <w:rsid w:val="006F7CDB"/>
    <w:rsid w:val="007037F8"/>
    <w:rsid w:val="00703B74"/>
    <w:rsid w:val="00721875"/>
    <w:rsid w:val="00747912"/>
    <w:rsid w:val="007530BE"/>
    <w:rsid w:val="00763C25"/>
    <w:rsid w:val="00790FA2"/>
    <w:rsid w:val="00791DDE"/>
    <w:rsid w:val="007A03D2"/>
    <w:rsid w:val="007A6559"/>
    <w:rsid w:val="007C5358"/>
    <w:rsid w:val="007D5F54"/>
    <w:rsid w:val="007D6B4F"/>
    <w:rsid w:val="007F69C5"/>
    <w:rsid w:val="00800F1E"/>
    <w:rsid w:val="00807FE4"/>
    <w:rsid w:val="00831F1B"/>
    <w:rsid w:val="008428F9"/>
    <w:rsid w:val="0084595F"/>
    <w:rsid w:val="00866F86"/>
    <w:rsid w:val="00870656"/>
    <w:rsid w:val="00872673"/>
    <w:rsid w:val="00897C4F"/>
    <w:rsid w:val="008A2620"/>
    <w:rsid w:val="008A798C"/>
    <w:rsid w:val="008C1F86"/>
    <w:rsid w:val="008C5FEE"/>
    <w:rsid w:val="0091400D"/>
    <w:rsid w:val="0092253F"/>
    <w:rsid w:val="0093321D"/>
    <w:rsid w:val="009336E8"/>
    <w:rsid w:val="00934F44"/>
    <w:rsid w:val="0097211C"/>
    <w:rsid w:val="00977714"/>
    <w:rsid w:val="009928B9"/>
    <w:rsid w:val="009C51FD"/>
    <w:rsid w:val="009F2B5E"/>
    <w:rsid w:val="009F4CA1"/>
    <w:rsid w:val="009F5743"/>
    <w:rsid w:val="00A0128B"/>
    <w:rsid w:val="00A015FE"/>
    <w:rsid w:val="00A04AE8"/>
    <w:rsid w:val="00A05ED3"/>
    <w:rsid w:val="00A1038F"/>
    <w:rsid w:val="00A34A1D"/>
    <w:rsid w:val="00A36782"/>
    <w:rsid w:val="00A3753D"/>
    <w:rsid w:val="00A40DA3"/>
    <w:rsid w:val="00A429E2"/>
    <w:rsid w:val="00A55A83"/>
    <w:rsid w:val="00A57DEE"/>
    <w:rsid w:val="00A86EA9"/>
    <w:rsid w:val="00AB0519"/>
    <w:rsid w:val="00AB6E92"/>
    <w:rsid w:val="00AC7C8B"/>
    <w:rsid w:val="00AD16CF"/>
    <w:rsid w:val="00AD1FC6"/>
    <w:rsid w:val="00AD52A6"/>
    <w:rsid w:val="00AD7D9D"/>
    <w:rsid w:val="00AE4B08"/>
    <w:rsid w:val="00AF30FF"/>
    <w:rsid w:val="00B2267B"/>
    <w:rsid w:val="00B3469A"/>
    <w:rsid w:val="00B351C2"/>
    <w:rsid w:val="00BA3CDB"/>
    <w:rsid w:val="00BA589A"/>
    <w:rsid w:val="00BB3881"/>
    <w:rsid w:val="00BC422E"/>
    <w:rsid w:val="00BD2359"/>
    <w:rsid w:val="00BD4139"/>
    <w:rsid w:val="00BD4BA8"/>
    <w:rsid w:val="00BE121D"/>
    <w:rsid w:val="00C123D0"/>
    <w:rsid w:val="00C20FE9"/>
    <w:rsid w:val="00C27279"/>
    <w:rsid w:val="00C37533"/>
    <w:rsid w:val="00C43E0A"/>
    <w:rsid w:val="00C63449"/>
    <w:rsid w:val="00C63F34"/>
    <w:rsid w:val="00C8657A"/>
    <w:rsid w:val="00C94A1A"/>
    <w:rsid w:val="00CB6ACC"/>
    <w:rsid w:val="00CE3B72"/>
    <w:rsid w:val="00D2062F"/>
    <w:rsid w:val="00D233CF"/>
    <w:rsid w:val="00D835C4"/>
    <w:rsid w:val="00DA509B"/>
    <w:rsid w:val="00DC2F37"/>
    <w:rsid w:val="00DC4BE3"/>
    <w:rsid w:val="00DE17E7"/>
    <w:rsid w:val="00DE3B0D"/>
    <w:rsid w:val="00DF545F"/>
    <w:rsid w:val="00E34B5A"/>
    <w:rsid w:val="00E35921"/>
    <w:rsid w:val="00E3754A"/>
    <w:rsid w:val="00E55AC1"/>
    <w:rsid w:val="00E573F8"/>
    <w:rsid w:val="00E87D8B"/>
    <w:rsid w:val="00EB4110"/>
    <w:rsid w:val="00EB4F49"/>
    <w:rsid w:val="00EE21E5"/>
    <w:rsid w:val="00EF66E4"/>
    <w:rsid w:val="00EF7890"/>
    <w:rsid w:val="00F078B8"/>
    <w:rsid w:val="00F10F1D"/>
    <w:rsid w:val="00F278B6"/>
    <w:rsid w:val="00F3300C"/>
    <w:rsid w:val="00F357B4"/>
    <w:rsid w:val="00F36A99"/>
    <w:rsid w:val="00F564C1"/>
    <w:rsid w:val="00F9248F"/>
    <w:rsid w:val="00FA2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F47D9"/>
  <w15:docId w15:val="{01369921-520C-462F-9A19-5D4F55EF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after="100"/>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pacing w:after="390"/>
      <w:ind w:firstLine="740"/>
      <w:outlineLvl w:val="0"/>
    </w:pPr>
    <w:rPr>
      <w:rFonts w:ascii="Times New Roman" w:eastAsia="Times New Roman" w:hAnsi="Times New Roman" w:cs="Times New Roman"/>
      <w:b/>
      <w:bCs/>
      <w:sz w:val="26"/>
      <w:szCs w:val="26"/>
    </w:rPr>
  </w:style>
  <w:style w:type="paragraph" w:customStyle="1" w:styleId="Heading20">
    <w:name w:val="Heading #2"/>
    <w:basedOn w:val="Normal"/>
    <w:link w:val="Heading2"/>
    <w:pPr>
      <w:spacing w:after="100"/>
      <w:ind w:firstLine="740"/>
      <w:outlineLvl w:val="1"/>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rPr>
      <w:rFonts w:ascii="Times New Roman" w:eastAsia="Times New Roman" w:hAnsi="Times New Roman" w:cs="Times New Roman"/>
      <w:sz w:val="22"/>
      <w:szCs w:val="22"/>
    </w:rPr>
  </w:style>
  <w:style w:type="table" w:styleId="TableGrid">
    <w:name w:val="Table Grid"/>
    <w:basedOn w:val="TableNormal"/>
    <w:uiPriority w:val="39"/>
    <w:rsid w:val="00026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59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921"/>
    <w:rPr>
      <w:rFonts w:ascii="Segoe UI" w:hAnsi="Segoe UI" w:cs="Segoe UI"/>
      <w:color w:val="000000"/>
      <w:sz w:val="18"/>
      <w:szCs w:val="18"/>
    </w:rPr>
  </w:style>
  <w:style w:type="paragraph" w:styleId="Header">
    <w:name w:val="header"/>
    <w:basedOn w:val="Normal"/>
    <w:link w:val="HeaderChar"/>
    <w:uiPriority w:val="99"/>
    <w:unhideWhenUsed/>
    <w:rsid w:val="00790FA2"/>
    <w:pPr>
      <w:tabs>
        <w:tab w:val="center" w:pos="4680"/>
        <w:tab w:val="right" w:pos="9360"/>
      </w:tabs>
    </w:pPr>
  </w:style>
  <w:style w:type="character" w:customStyle="1" w:styleId="HeaderChar">
    <w:name w:val="Header Char"/>
    <w:basedOn w:val="DefaultParagraphFont"/>
    <w:link w:val="Header"/>
    <w:uiPriority w:val="99"/>
    <w:rsid w:val="00790FA2"/>
    <w:rPr>
      <w:color w:val="000000"/>
    </w:rPr>
  </w:style>
  <w:style w:type="paragraph" w:styleId="Footer">
    <w:name w:val="footer"/>
    <w:basedOn w:val="Normal"/>
    <w:link w:val="FooterChar"/>
    <w:uiPriority w:val="99"/>
    <w:unhideWhenUsed/>
    <w:rsid w:val="00790FA2"/>
    <w:pPr>
      <w:tabs>
        <w:tab w:val="center" w:pos="4680"/>
        <w:tab w:val="right" w:pos="9360"/>
      </w:tabs>
    </w:pPr>
  </w:style>
  <w:style w:type="character" w:customStyle="1" w:styleId="FooterChar">
    <w:name w:val="Footer Char"/>
    <w:basedOn w:val="DefaultParagraphFont"/>
    <w:link w:val="Footer"/>
    <w:uiPriority w:val="99"/>
    <w:rsid w:val="00790FA2"/>
    <w:rPr>
      <w:color w:val="000000"/>
    </w:rPr>
  </w:style>
  <w:style w:type="character" w:styleId="CommentReference">
    <w:name w:val="annotation reference"/>
    <w:basedOn w:val="DefaultParagraphFont"/>
    <w:uiPriority w:val="99"/>
    <w:semiHidden/>
    <w:unhideWhenUsed/>
    <w:rsid w:val="00790FA2"/>
    <w:rPr>
      <w:sz w:val="16"/>
      <w:szCs w:val="16"/>
    </w:rPr>
  </w:style>
  <w:style w:type="paragraph" w:styleId="CommentText">
    <w:name w:val="annotation text"/>
    <w:basedOn w:val="Normal"/>
    <w:link w:val="CommentTextChar"/>
    <w:uiPriority w:val="99"/>
    <w:semiHidden/>
    <w:unhideWhenUsed/>
    <w:rsid w:val="00790FA2"/>
    <w:rPr>
      <w:sz w:val="20"/>
      <w:szCs w:val="20"/>
    </w:rPr>
  </w:style>
  <w:style w:type="character" w:customStyle="1" w:styleId="CommentTextChar">
    <w:name w:val="Comment Text Char"/>
    <w:basedOn w:val="DefaultParagraphFont"/>
    <w:link w:val="CommentText"/>
    <w:uiPriority w:val="99"/>
    <w:semiHidden/>
    <w:rsid w:val="00790FA2"/>
    <w:rPr>
      <w:color w:val="000000"/>
      <w:sz w:val="20"/>
      <w:szCs w:val="20"/>
    </w:rPr>
  </w:style>
  <w:style w:type="paragraph" w:styleId="CommentSubject">
    <w:name w:val="annotation subject"/>
    <w:basedOn w:val="CommentText"/>
    <w:next w:val="CommentText"/>
    <w:link w:val="CommentSubjectChar"/>
    <w:uiPriority w:val="99"/>
    <w:semiHidden/>
    <w:unhideWhenUsed/>
    <w:rsid w:val="00790FA2"/>
    <w:rPr>
      <w:b/>
      <w:bCs/>
    </w:rPr>
  </w:style>
  <w:style w:type="character" w:customStyle="1" w:styleId="CommentSubjectChar">
    <w:name w:val="Comment Subject Char"/>
    <w:basedOn w:val="CommentTextChar"/>
    <w:link w:val="CommentSubject"/>
    <w:uiPriority w:val="99"/>
    <w:semiHidden/>
    <w:rsid w:val="00790FA2"/>
    <w:rPr>
      <w:b/>
      <w:bCs/>
      <w:color w:val="000000"/>
      <w:sz w:val="20"/>
      <w:szCs w:val="20"/>
    </w:rPr>
  </w:style>
  <w:style w:type="paragraph" w:styleId="Revision">
    <w:name w:val="Revision"/>
    <w:hidden/>
    <w:uiPriority w:val="99"/>
    <w:semiHidden/>
    <w:rsid w:val="0043278A"/>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1B1E8-2453-4B62-81CD-B739F26018ED}">
  <ds:schemaRefs>
    <ds:schemaRef ds:uri="http://schemas.openxmlformats.org/officeDocument/2006/bibliography"/>
  </ds:schemaRefs>
</ds:datastoreItem>
</file>

<file path=customXml/itemProps2.xml><?xml version="1.0" encoding="utf-8"?>
<ds:datastoreItem xmlns:ds="http://schemas.openxmlformats.org/officeDocument/2006/customXml" ds:itemID="{D7AA3076-A821-4C3F-86B7-A44A2F9EEF7D}"/>
</file>

<file path=customXml/itemProps3.xml><?xml version="1.0" encoding="utf-8"?>
<ds:datastoreItem xmlns:ds="http://schemas.openxmlformats.org/officeDocument/2006/customXml" ds:itemID="{322D4221-D10C-43A2-8EB9-D4C27C96CE4E}"/>
</file>

<file path=customXml/itemProps4.xml><?xml version="1.0" encoding="utf-8"?>
<ds:datastoreItem xmlns:ds="http://schemas.openxmlformats.org/officeDocument/2006/customXml" ds:itemID="{D119DDF8-CC13-4B72-A0C7-57A34A7F325C}"/>
</file>

<file path=docProps/app.xml><?xml version="1.0" encoding="utf-8"?>
<Properties xmlns="http://schemas.openxmlformats.org/officeDocument/2006/extended-properties" xmlns:vt="http://schemas.openxmlformats.org/officeDocument/2006/docPropsVTypes">
  <Template>Normal</Template>
  <TotalTime>6</TotalTime>
  <Pages>6</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2025-06-12T04:20:00Z</dcterms:created>
  <dcterms:modified xsi:type="dcterms:W3CDTF">2025-06-16T01:39:00Z</dcterms:modified>
</cp:coreProperties>
</file>